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宿迁宿城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兴福村镇银行有限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责任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公司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2024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年度第三支柱信息披露报告</w:t>
      </w:r>
    </w:p>
    <w:p>
      <w:pPr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公司为非国内系统重要性银行，根据《商业银行资本管理办法》（以下简称“办法”），公司属于第三档商业银行，本报告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经高级管理层批准，并实施有效的内部控制流程，公司确保披露内容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真实、可靠。</w:t>
      </w:r>
    </w:p>
    <w:p>
      <w:pPr>
        <w:ind w:firstLine="640" w:firstLineChars="200"/>
        <w:rPr>
          <w:rFonts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按照办法附件</w:t>
      </w:r>
      <w:r>
        <w:rPr>
          <w:rFonts w:ascii="仿宋" w:hAnsi="仿宋" w:eastAsia="仿宋" w:cs="仿宋"/>
          <w:sz w:val="32"/>
          <w:szCs w:val="32"/>
          <w:lang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《第三档商业银行资本监管规定》，本期公司需披露的报表如下：</w:t>
      </w:r>
    </w:p>
    <w:p>
      <w:pPr>
        <w:spacing w:before="156" w:beforeLines="50"/>
        <w:jc w:val="center"/>
        <w:rPr>
          <w:rFonts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表一：关键审慎监管指标</w:t>
      </w:r>
    </w:p>
    <w:p>
      <w:pPr>
        <w:jc w:val="right"/>
        <w:rPr>
          <w:rFonts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>单位：人民币万元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5765"/>
        <w:gridCol w:w="1440"/>
        <w:gridCol w:w="150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75" w:type="pct"/>
            <w:gridSpan w:val="2"/>
            <w:vMerge w:val="restart"/>
          </w:tcPr>
          <w:p>
            <w:pPr>
              <w:snapToGrid w:val="0"/>
              <w:spacing w:line="480" w:lineRule="exact"/>
              <w:rPr>
                <w:rFonts w:ascii="仿宋" w:hAnsi="仿宋" w:eastAsia="仿宋" w:cs="Arial Unicode MS"/>
                <w:color w:val="000000"/>
              </w:rPr>
            </w:pPr>
          </w:p>
        </w:tc>
        <w:tc>
          <w:tcPr>
            <w:tcW w:w="746" w:type="pc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ascii="仿宋" w:hAnsi="仿宋" w:eastAsia="仿宋" w:cs="Arial Unicode MS"/>
                <w:color w:val="000000"/>
              </w:rPr>
              <w:t>a</w:t>
            </w:r>
          </w:p>
        </w:tc>
        <w:tc>
          <w:tcPr>
            <w:tcW w:w="779" w:type="pc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ascii="仿宋" w:hAnsi="仿宋" w:eastAsia="仿宋" w:cs="Arial Unicode MS"/>
                <w:color w:val="000000"/>
              </w:rPr>
              <w:t>b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75" w:type="pct"/>
            <w:gridSpan w:val="2"/>
            <w:vMerge w:val="continue"/>
          </w:tcPr>
          <w:p>
            <w:pPr>
              <w:snapToGrid w:val="0"/>
              <w:spacing w:line="480" w:lineRule="exact"/>
              <w:rPr>
                <w:rFonts w:ascii="仿宋" w:hAnsi="仿宋" w:eastAsia="仿宋" w:cs="Arial Unicode MS"/>
                <w:color w:val="000000"/>
              </w:rPr>
            </w:pPr>
          </w:p>
        </w:tc>
        <w:tc>
          <w:tcPr>
            <w:tcW w:w="746" w:type="pc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ascii="仿宋" w:hAnsi="仿宋" w:eastAsia="仿宋" w:cs="Arial Unicode MS"/>
                <w:color w:val="000000"/>
              </w:rPr>
              <w:t>T</w:t>
            </w:r>
          </w:p>
        </w:tc>
        <w:tc>
          <w:tcPr>
            <w:tcW w:w="779" w:type="pc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ascii="仿宋" w:hAnsi="仿宋" w:eastAsia="仿宋" w:cs="Arial Unicode MS"/>
                <w:color w:val="000000"/>
              </w:rPr>
              <w:t>T-1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4"/>
            <w:shd w:val="clear" w:color="000000" w:fill="D9D9D9"/>
          </w:tcPr>
          <w:p>
            <w:pPr>
              <w:snapToGrid w:val="0"/>
              <w:spacing w:line="480" w:lineRule="exact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b/>
                <w:bCs/>
                <w:color w:val="000000"/>
              </w:rPr>
              <w:t>可用资本（数额）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8" w:type="pc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ascii="仿宋" w:hAnsi="仿宋" w:eastAsia="仿宋" w:cs="Arial Unicode MS"/>
                <w:color w:val="000000"/>
              </w:rPr>
              <w:t>1</w:t>
            </w:r>
          </w:p>
        </w:tc>
        <w:tc>
          <w:tcPr>
            <w:tcW w:w="2987" w:type="pct"/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核心一级资本净额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12103.41 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12323.93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8" w:type="pc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2</w:t>
            </w:r>
          </w:p>
        </w:tc>
        <w:tc>
          <w:tcPr>
            <w:tcW w:w="2987" w:type="pct"/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资本净额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13869.99 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15275.79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4"/>
            <w:shd w:val="clear" w:color="000000" w:fill="D9D9D9"/>
          </w:tcPr>
          <w:p>
            <w:pPr>
              <w:snapToGrid w:val="0"/>
              <w:spacing w:line="480" w:lineRule="exact"/>
              <w:rPr>
                <w:rFonts w:ascii="仿宋" w:hAnsi="仿宋" w:eastAsia="仿宋" w:cs="Arial Unicode MS"/>
                <w:color w:val="000000"/>
                <w:lang w:eastAsia="zh-CN"/>
              </w:rPr>
            </w:pPr>
            <w:r>
              <w:rPr>
                <w:rFonts w:hint="eastAsia" w:ascii="仿宋" w:hAnsi="仿宋" w:eastAsia="仿宋" w:cs="Arial Unicode MS"/>
                <w:b/>
                <w:bCs/>
                <w:color w:val="000000"/>
                <w:lang w:eastAsia="zh-CN"/>
              </w:rPr>
              <w:t>风险加权资产（数额）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8" w:type="pc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3</w:t>
            </w:r>
          </w:p>
        </w:tc>
        <w:tc>
          <w:tcPr>
            <w:tcW w:w="2987" w:type="pct"/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信用风险加权资产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73329.97 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80055.52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8" w:type="pc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4</w:t>
            </w:r>
          </w:p>
        </w:tc>
        <w:tc>
          <w:tcPr>
            <w:tcW w:w="2987" w:type="pct"/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操作风险加权资产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13174.55 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11779.86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8" w:type="pc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5</w:t>
            </w:r>
          </w:p>
        </w:tc>
        <w:tc>
          <w:tcPr>
            <w:tcW w:w="2987" w:type="pct"/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风险加权资产合计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86504.52 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91835.38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4"/>
            <w:shd w:val="clear" w:color="000000" w:fill="D9D9D9"/>
          </w:tcPr>
          <w:p>
            <w:pPr>
              <w:snapToGrid w:val="0"/>
              <w:spacing w:line="480" w:lineRule="exact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b/>
                <w:bCs/>
                <w:color w:val="000000"/>
              </w:rPr>
              <w:t>资本充足率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8" w:type="pct"/>
            <w:tcBorders>
              <w:left w:val="nil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6</w:t>
            </w:r>
          </w:p>
        </w:tc>
        <w:tc>
          <w:tcPr>
            <w:tcW w:w="2987" w:type="pct"/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ascii="仿宋" w:hAnsi="仿宋" w:eastAsia="仿宋" w:cs="Arial Unicode MS"/>
                <w:color w:val="000000"/>
                <w:lang w:eastAsia="zh-CN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eastAsia="zh-CN"/>
              </w:rPr>
              <w:t>核心一级资本充足率（</w:t>
            </w:r>
            <w:r>
              <w:rPr>
                <w:rFonts w:ascii="仿宋" w:hAnsi="仿宋" w:eastAsia="仿宋" w:cs="Arial Unicode MS"/>
                <w:color w:val="000000"/>
                <w:lang w:eastAsia="zh-CN"/>
              </w:rPr>
              <w:t>%）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 Unicode MS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13.99%</w:t>
            </w:r>
          </w:p>
        </w:tc>
        <w:tc>
          <w:tcPr>
            <w:tcW w:w="1470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 Unicode MS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13.42%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8" w:type="pc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7</w:t>
            </w:r>
          </w:p>
        </w:tc>
        <w:tc>
          <w:tcPr>
            <w:tcW w:w="2987" w:type="pct"/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资本充足率（</w:t>
            </w:r>
            <w:r>
              <w:rPr>
                <w:rFonts w:ascii="仿宋" w:hAnsi="仿宋" w:eastAsia="仿宋" w:cs="Arial Unicode MS"/>
                <w:color w:val="000000"/>
              </w:rPr>
              <w:t>%）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16.03%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16.63%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4"/>
            <w:shd w:val="clear" w:color="000000" w:fill="D9D9D9"/>
          </w:tcPr>
          <w:p>
            <w:pPr>
              <w:snapToGrid w:val="0"/>
              <w:spacing w:line="480" w:lineRule="exact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b/>
                <w:bCs/>
                <w:color w:val="000000"/>
              </w:rPr>
              <w:t>杠杆率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8" w:type="pc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8</w:t>
            </w:r>
          </w:p>
        </w:tc>
        <w:tc>
          <w:tcPr>
            <w:tcW w:w="2987" w:type="pct"/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ascii="仿宋" w:hAnsi="仿宋" w:eastAsia="仿宋" w:cs="Arial Unicode MS"/>
                <w:color w:val="000000"/>
                <w:lang w:eastAsia="zh-CN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eastAsia="zh-CN"/>
              </w:rPr>
              <w:t>调整后表内外资产余额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 Unicode MS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113224.61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 Unicode MS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126800.25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8" w:type="pc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9</w:t>
            </w:r>
          </w:p>
        </w:tc>
        <w:tc>
          <w:tcPr>
            <w:tcW w:w="2987" w:type="pct"/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杠杆率</w:t>
            </w:r>
            <w:r>
              <w:rPr>
                <w:rFonts w:hint="eastAsia" w:ascii="仿宋" w:hAnsi="仿宋" w:eastAsia="仿宋" w:cs="Arial Unicode MS"/>
                <w:color w:val="000000"/>
              </w:rPr>
              <w:t>（</w:t>
            </w:r>
            <w:r>
              <w:rPr>
                <w:rFonts w:ascii="仿宋" w:hAnsi="仿宋" w:eastAsia="仿宋" w:cs="Arial Unicode MS"/>
                <w:color w:val="000000"/>
              </w:rPr>
              <w:t>%）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10.69%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9.72%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8" w:type="pc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10</w:t>
            </w:r>
          </w:p>
        </w:tc>
        <w:tc>
          <w:tcPr>
            <w:tcW w:w="2987" w:type="pct"/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杠杆率a</w:t>
            </w:r>
            <w:r>
              <w:rPr>
                <w:rFonts w:hint="eastAsia" w:ascii="仿宋" w:hAnsi="仿宋" w:eastAsia="仿宋" w:cs="Arial Unicode MS"/>
                <w:color w:val="000000"/>
              </w:rPr>
              <w:t>（</w:t>
            </w:r>
            <w:r>
              <w:rPr>
                <w:rFonts w:ascii="仿宋" w:hAnsi="仿宋" w:eastAsia="仿宋" w:cs="Arial Unicode MS"/>
                <w:color w:val="000000"/>
              </w:rPr>
              <w:t>%）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10.69%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9.72%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4"/>
            <w:shd w:val="clear" w:color="000000" w:fill="D9D9D9"/>
          </w:tcPr>
          <w:p>
            <w:pPr>
              <w:snapToGrid w:val="0"/>
              <w:spacing w:line="480" w:lineRule="exact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b/>
                <w:bCs/>
                <w:color w:val="000000"/>
              </w:rPr>
              <w:t>流动性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8" w:type="pc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11</w:t>
            </w:r>
          </w:p>
        </w:tc>
        <w:tc>
          <w:tcPr>
            <w:tcW w:w="2987" w:type="pct"/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ascii="仿宋" w:hAnsi="仿宋" w:eastAsia="仿宋" w:cs="Arial Unicode MS"/>
                <w:color w:val="000000"/>
                <w:lang w:eastAsia="zh-CN"/>
              </w:rPr>
            </w:pPr>
            <w:r>
              <w:rPr>
                <w:rFonts w:hint="eastAsia" w:ascii="仿宋" w:hAnsi="仿宋" w:eastAsia="仿宋" w:cs="Arial Unicode MS"/>
                <w:color w:val="000000"/>
                <w:lang w:eastAsia="zh-CN"/>
              </w:rPr>
              <w:t>优质流动性资产充足率（</w:t>
            </w:r>
            <w:r>
              <w:rPr>
                <w:rFonts w:ascii="仿宋" w:hAnsi="仿宋" w:eastAsia="仿宋" w:cs="Arial Unicode MS"/>
                <w:color w:val="000000"/>
                <w:lang w:eastAsia="zh-CN"/>
              </w:rPr>
              <w:t>%）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 Unicode MS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14.45%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 Unicode MS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12.65%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8" w:type="pc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12</w:t>
            </w:r>
          </w:p>
        </w:tc>
        <w:tc>
          <w:tcPr>
            <w:tcW w:w="2987" w:type="pct"/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流动性比例（</w:t>
            </w:r>
            <w:r>
              <w:rPr>
                <w:rFonts w:ascii="仿宋" w:hAnsi="仿宋" w:eastAsia="仿宋" w:cs="Arial Unicode MS"/>
                <w:color w:val="000000"/>
              </w:rPr>
              <w:t>%）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88.94%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106.51%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8" w:type="pct"/>
            <w:shd w:val="clear" w:color="auto" w:fill="FFFFFF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13</w:t>
            </w:r>
          </w:p>
        </w:tc>
        <w:tc>
          <w:tcPr>
            <w:tcW w:w="2987" w:type="pct"/>
            <w:shd w:val="clear" w:color="auto" w:fill="FFFFFF"/>
            <w:vAlign w:val="center"/>
          </w:tcPr>
          <w:p>
            <w:pPr>
              <w:snapToGrid w:val="0"/>
              <w:spacing w:line="480" w:lineRule="exact"/>
              <w:jc w:val="both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Arial Unicode MS"/>
                <w:color w:val="000000"/>
              </w:rPr>
              <w:t>流动性匹配率（</w:t>
            </w:r>
            <w:r>
              <w:rPr>
                <w:rFonts w:ascii="仿宋" w:hAnsi="仿宋" w:eastAsia="仿宋" w:cs="Arial Unicode MS"/>
                <w:color w:val="000000"/>
              </w:rPr>
              <w:t>%）</w:t>
            </w:r>
          </w:p>
        </w:tc>
        <w:tc>
          <w:tcPr>
            <w:tcW w:w="14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132.07%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 Unicode MS"/>
                <w:color w:val="00000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142.74%</w:t>
            </w:r>
          </w:p>
        </w:tc>
      </w:tr>
    </w:tbl>
    <w:p>
      <w:pPr>
        <w:rPr>
          <w:rFonts w:ascii="仿宋" w:hAnsi="仿宋" w:eastAsia="仿宋" w:cs="仿宋"/>
          <w:lang w:eastAsia="zh-CN"/>
        </w:rPr>
      </w:pPr>
      <w:r>
        <w:rPr>
          <w:rFonts w:ascii="仿宋" w:hAnsi="仿宋" w:eastAsia="仿宋" w:cs="仿宋"/>
          <w:lang w:eastAsia="zh-CN"/>
        </w:rPr>
        <w:br w:type="page"/>
      </w:r>
    </w:p>
    <w:p>
      <w:pPr>
        <w:spacing w:before="156" w:beforeLines="50"/>
        <w:jc w:val="center"/>
        <w:rPr>
          <w:rFonts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表二：资本构成</w:t>
      </w:r>
    </w:p>
    <w:p>
      <w:pPr>
        <w:jc w:val="right"/>
        <w:rPr>
          <w:rFonts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>单位：人民币万元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7521"/>
        <w:gridCol w:w="147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34" w:type="pct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项目</w:t>
            </w:r>
          </w:p>
        </w:tc>
        <w:tc>
          <w:tcPr>
            <w:tcW w:w="766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数额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38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ascii="仿宋" w:hAnsi="仿宋" w:eastAsia="仿宋" w:cs="仿宋_GB2312"/>
                <w:color w:val="000000"/>
              </w:rPr>
              <w:t>1</w:t>
            </w:r>
          </w:p>
        </w:tc>
        <w:tc>
          <w:tcPr>
            <w:tcW w:w="3897" w:type="pct"/>
            <w:vAlign w:val="center"/>
          </w:tcPr>
          <w:p>
            <w:pPr>
              <w:spacing w:line="480" w:lineRule="exact"/>
              <w:jc w:val="both"/>
              <w:rPr>
                <w:rFonts w:ascii="仿宋" w:hAnsi="仿宋" w:eastAsia="仿宋" w:cs="仿宋_GB2312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lang w:eastAsia="zh-CN"/>
              </w:rPr>
              <w:t>实收资本和资本公积可计入部分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仿宋_GB2312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3867.86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38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ascii="仿宋" w:hAnsi="仿宋" w:eastAsia="仿宋" w:cs="仿宋_GB2312"/>
                <w:color w:val="000000"/>
              </w:rPr>
              <w:t>2</w:t>
            </w:r>
          </w:p>
        </w:tc>
        <w:tc>
          <w:tcPr>
            <w:tcW w:w="3897" w:type="pct"/>
            <w:vAlign w:val="center"/>
          </w:tcPr>
          <w:p>
            <w:pPr>
              <w:spacing w:line="480" w:lineRule="exact"/>
              <w:jc w:val="both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  <w:lang w:eastAsia="zh-TW"/>
              </w:rPr>
              <w:t>留存收益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_GB2312"/>
                <w:color w:val="00000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8238.80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38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ascii="仿宋" w:hAnsi="仿宋" w:eastAsia="仿宋" w:cs="仿宋_GB2312"/>
                <w:color w:val="000000"/>
              </w:rPr>
              <w:t>2a</w:t>
            </w:r>
          </w:p>
        </w:tc>
        <w:tc>
          <w:tcPr>
            <w:tcW w:w="3897" w:type="pct"/>
            <w:vAlign w:val="center"/>
          </w:tcPr>
          <w:p>
            <w:pPr>
              <w:spacing w:line="480" w:lineRule="exact"/>
              <w:jc w:val="both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盈余公积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1842.17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338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ascii="仿宋" w:hAnsi="仿宋" w:eastAsia="仿宋" w:cs="仿宋_GB2312"/>
                <w:color w:val="000000"/>
              </w:rPr>
              <w:t>2b</w:t>
            </w:r>
          </w:p>
        </w:tc>
        <w:tc>
          <w:tcPr>
            <w:tcW w:w="3897" w:type="pct"/>
            <w:vAlign w:val="center"/>
          </w:tcPr>
          <w:p>
            <w:pPr>
              <w:spacing w:line="480" w:lineRule="exact"/>
              <w:jc w:val="both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一般风险准备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2007.25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338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ascii="仿宋" w:hAnsi="仿宋" w:eastAsia="仿宋" w:cs="仿宋_GB2312"/>
                <w:color w:val="000000"/>
              </w:rPr>
              <w:t>2c</w:t>
            </w:r>
          </w:p>
        </w:tc>
        <w:tc>
          <w:tcPr>
            <w:tcW w:w="3897" w:type="pct"/>
            <w:vAlign w:val="center"/>
          </w:tcPr>
          <w:p>
            <w:pPr>
              <w:spacing w:line="480" w:lineRule="exact"/>
              <w:jc w:val="both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未分配利润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4389.38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338" w:type="pc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ascii="仿宋" w:hAnsi="仿宋" w:eastAsia="仿宋" w:cs="仿宋_GB2312"/>
                <w:color w:val="000000"/>
              </w:rPr>
              <w:t>3</w:t>
            </w:r>
          </w:p>
        </w:tc>
        <w:tc>
          <w:tcPr>
            <w:tcW w:w="3897" w:type="pct"/>
            <w:shd w:val="clear" w:color="auto" w:fill="FFFFFF"/>
            <w:vAlign w:val="center"/>
          </w:tcPr>
          <w:p>
            <w:pPr>
              <w:spacing w:line="480" w:lineRule="exact"/>
              <w:jc w:val="both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累计其他综合收益</w:t>
            </w:r>
          </w:p>
        </w:tc>
        <w:tc>
          <w:tcPr>
            <w:tcW w:w="14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38" w:type="pc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ascii="仿宋" w:hAnsi="仿宋" w:eastAsia="仿宋" w:cs="仿宋_GB2312"/>
                <w:color w:val="000000"/>
              </w:rPr>
              <w:t>4</w:t>
            </w:r>
          </w:p>
        </w:tc>
        <w:tc>
          <w:tcPr>
            <w:tcW w:w="3897" w:type="pct"/>
            <w:shd w:val="clear" w:color="auto" w:fill="FFFFFF"/>
            <w:vAlign w:val="center"/>
          </w:tcPr>
          <w:p>
            <w:pPr>
              <w:spacing w:line="480" w:lineRule="exact"/>
              <w:jc w:val="both"/>
              <w:rPr>
                <w:rFonts w:ascii="仿宋" w:hAnsi="仿宋" w:eastAsia="仿宋" w:cs="宋体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监管调整前的核心一级资本</w:t>
            </w:r>
          </w:p>
        </w:tc>
        <w:tc>
          <w:tcPr>
            <w:tcW w:w="14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_GB2312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12106.66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38" w:type="pc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ascii="仿宋" w:hAnsi="仿宋" w:eastAsia="仿宋" w:cs="仿宋_GB2312"/>
                <w:color w:val="000000"/>
              </w:rPr>
              <w:t>5</w:t>
            </w:r>
          </w:p>
        </w:tc>
        <w:tc>
          <w:tcPr>
            <w:tcW w:w="3897" w:type="pct"/>
            <w:shd w:val="clear" w:color="auto" w:fill="FFFFFF"/>
            <w:vAlign w:val="center"/>
          </w:tcPr>
          <w:p>
            <w:pPr>
              <w:spacing w:line="480" w:lineRule="exact"/>
              <w:jc w:val="both"/>
              <w:rPr>
                <w:rFonts w:ascii="仿宋" w:hAnsi="仿宋" w:eastAsia="仿宋" w:cs="仿宋_GB2312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lang w:eastAsia="zh-CN"/>
              </w:rPr>
              <w:t>商誉（</w:t>
            </w:r>
            <w:r>
              <w:rPr>
                <w:rFonts w:ascii="仿宋" w:hAnsi="仿宋" w:eastAsia="仿宋" w:cs="仿宋_GB2312"/>
                <w:color w:val="000000"/>
                <w:lang w:eastAsia="zh-CN"/>
              </w:rPr>
              <w:t>扣除递延税负债</w:t>
            </w:r>
            <w:r>
              <w:rPr>
                <w:rFonts w:hint="eastAsia" w:ascii="仿宋" w:hAnsi="仿宋" w:eastAsia="仿宋" w:cs="仿宋_GB2312"/>
                <w:color w:val="000000"/>
                <w:lang w:eastAsia="zh-CN"/>
              </w:rPr>
              <w:t>）</w:t>
            </w:r>
          </w:p>
        </w:tc>
        <w:tc>
          <w:tcPr>
            <w:tcW w:w="14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仿宋_GB2312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338" w:type="pc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ascii="仿宋" w:hAnsi="仿宋" w:eastAsia="仿宋" w:cs="仿宋_GB2312"/>
                <w:color w:val="000000"/>
              </w:rPr>
              <w:t>6</w:t>
            </w:r>
          </w:p>
        </w:tc>
        <w:tc>
          <w:tcPr>
            <w:tcW w:w="3897" w:type="pct"/>
            <w:shd w:val="clear" w:color="auto" w:fill="FFFFFF"/>
            <w:vAlign w:val="center"/>
          </w:tcPr>
          <w:p>
            <w:pPr>
              <w:spacing w:line="480" w:lineRule="exact"/>
              <w:jc w:val="both"/>
              <w:rPr>
                <w:rFonts w:ascii="仿宋" w:hAnsi="仿宋" w:eastAsia="仿宋" w:cs="仿宋_GB2312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lang w:eastAsia="zh-CN"/>
              </w:rPr>
              <w:t>其他无形资产（土地使用权除外）（扣除递延税负债）</w:t>
            </w:r>
          </w:p>
        </w:tc>
        <w:tc>
          <w:tcPr>
            <w:tcW w:w="14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仿宋_GB2312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338" w:type="pc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ascii="仿宋" w:hAnsi="仿宋" w:eastAsia="仿宋" w:cs="仿宋_GB2312"/>
                <w:color w:val="000000"/>
              </w:rPr>
              <w:t>7</w:t>
            </w:r>
          </w:p>
        </w:tc>
        <w:tc>
          <w:tcPr>
            <w:tcW w:w="3897" w:type="pct"/>
            <w:shd w:val="clear" w:color="auto" w:fill="FFFFFF"/>
            <w:vAlign w:val="center"/>
          </w:tcPr>
          <w:p>
            <w:pPr>
              <w:spacing w:line="480" w:lineRule="exact"/>
              <w:jc w:val="both"/>
              <w:rPr>
                <w:rFonts w:ascii="仿宋" w:hAnsi="仿宋" w:eastAsia="仿宋" w:cs="仿宋_GB2312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lang w:eastAsia="zh-TW"/>
              </w:rPr>
              <w:t>依赖未来盈利的由经营亏损引起的净递延税资产</w:t>
            </w:r>
          </w:p>
        </w:tc>
        <w:tc>
          <w:tcPr>
            <w:tcW w:w="14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仿宋_GB2312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38" w:type="pc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ascii="仿宋" w:hAnsi="仿宋" w:eastAsia="仿宋" w:cs="仿宋_GB2312"/>
                <w:color w:val="000000"/>
              </w:rPr>
              <w:t>8</w:t>
            </w:r>
          </w:p>
        </w:tc>
        <w:tc>
          <w:tcPr>
            <w:tcW w:w="3897" w:type="pct"/>
            <w:shd w:val="clear" w:color="auto" w:fill="FFFFFF"/>
            <w:vAlign w:val="center"/>
          </w:tcPr>
          <w:p>
            <w:pPr>
              <w:spacing w:line="480" w:lineRule="exact"/>
              <w:jc w:val="both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  <w:lang w:eastAsia="zh-TW"/>
              </w:rPr>
              <w:t>损失准备缺口</w:t>
            </w:r>
          </w:p>
        </w:tc>
        <w:tc>
          <w:tcPr>
            <w:tcW w:w="14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38" w:type="pc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ascii="仿宋" w:hAnsi="仿宋" w:eastAsia="仿宋" w:cs="仿宋_GB2312"/>
                <w:color w:val="000000"/>
              </w:rPr>
              <w:t>9</w:t>
            </w:r>
          </w:p>
        </w:tc>
        <w:tc>
          <w:tcPr>
            <w:tcW w:w="3897" w:type="pct"/>
            <w:shd w:val="clear" w:color="auto" w:fill="FFFFFF"/>
            <w:vAlign w:val="center"/>
          </w:tcPr>
          <w:p>
            <w:pPr>
              <w:spacing w:line="480" w:lineRule="exact"/>
              <w:jc w:val="both"/>
              <w:rPr>
                <w:rFonts w:ascii="仿宋" w:hAnsi="仿宋" w:eastAsia="仿宋" w:cs="仿宋_GB2312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lang w:eastAsia="zh-TW"/>
              </w:rPr>
              <w:t>直接或间接持有本银行的普通股</w:t>
            </w:r>
          </w:p>
        </w:tc>
        <w:tc>
          <w:tcPr>
            <w:tcW w:w="14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仿宋_GB2312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338" w:type="pc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ascii="仿宋" w:hAnsi="仿宋" w:eastAsia="仿宋" w:cs="仿宋_GB2312"/>
                <w:color w:val="000000"/>
              </w:rPr>
              <w:t>10</w:t>
            </w:r>
          </w:p>
        </w:tc>
        <w:tc>
          <w:tcPr>
            <w:tcW w:w="3897" w:type="pct"/>
            <w:shd w:val="clear" w:color="auto" w:fill="FFFFFF"/>
            <w:vAlign w:val="center"/>
          </w:tcPr>
          <w:p>
            <w:pPr>
              <w:spacing w:line="480" w:lineRule="exact"/>
              <w:jc w:val="both"/>
              <w:rPr>
                <w:rFonts w:ascii="仿宋" w:hAnsi="仿宋" w:eastAsia="仿宋" w:cs="仿宋_GB2312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lang w:eastAsia="zh-CN"/>
              </w:rPr>
              <w:t>持有的金融机构一级资本工具</w:t>
            </w:r>
          </w:p>
        </w:tc>
        <w:tc>
          <w:tcPr>
            <w:tcW w:w="14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仿宋_GB2312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338" w:type="pc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ascii="仿宋" w:hAnsi="仿宋" w:eastAsia="仿宋" w:cs="仿宋_GB2312"/>
                <w:color w:val="000000"/>
              </w:rPr>
              <w:t>11</w:t>
            </w:r>
          </w:p>
        </w:tc>
        <w:tc>
          <w:tcPr>
            <w:tcW w:w="3897" w:type="pct"/>
            <w:shd w:val="clear" w:color="auto" w:fill="FFFFFF"/>
            <w:vAlign w:val="center"/>
          </w:tcPr>
          <w:p>
            <w:pPr>
              <w:spacing w:line="480" w:lineRule="exact"/>
              <w:jc w:val="both"/>
              <w:rPr>
                <w:rFonts w:ascii="仿宋" w:hAnsi="仿宋" w:eastAsia="仿宋" w:cs="仿宋_GB2312"/>
                <w:color w:val="000000"/>
                <w:lang w:eastAsia="zh-TW"/>
              </w:rPr>
            </w:pPr>
            <w:r>
              <w:rPr>
                <w:rFonts w:hint="eastAsia" w:ascii="仿宋" w:hAnsi="仿宋" w:eastAsia="仿宋" w:cs="仿宋_GB2312"/>
                <w:color w:val="000000"/>
                <w:lang w:eastAsia="zh-CN"/>
              </w:rPr>
              <w:t>监管规定的其他应从核心一级资本中扣除的项目合计</w:t>
            </w:r>
          </w:p>
        </w:tc>
        <w:tc>
          <w:tcPr>
            <w:tcW w:w="14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仿宋_GB2312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38" w:type="pc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ascii="仿宋" w:hAnsi="仿宋" w:eastAsia="仿宋" w:cs="仿宋_GB2312"/>
                <w:color w:val="000000"/>
              </w:rPr>
              <w:t>12</w:t>
            </w:r>
          </w:p>
        </w:tc>
        <w:tc>
          <w:tcPr>
            <w:tcW w:w="3897" w:type="pct"/>
            <w:shd w:val="clear" w:color="auto" w:fill="FFFFFF"/>
            <w:vAlign w:val="center"/>
          </w:tcPr>
          <w:p>
            <w:pPr>
              <w:spacing w:line="480" w:lineRule="exact"/>
              <w:jc w:val="both"/>
              <w:rPr>
                <w:rFonts w:ascii="仿宋" w:hAnsi="仿宋" w:eastAsia="仿宋" w:cs="宋体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核心一级资本监管调整总和</w:t>
            </w:r>
          </w:p>
        </w:tc>
        <w:tc>
          <w:tcPr>
            <w:tcW w:w="14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仿宋_GB2312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38" w:type="pc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ascii="仿宋" w:hAnsi="仿宋" w:eastAsia="仿宋" w:cs="仿宋_GB2312"/>
                <w:color w:val="000000"/>
              </w:rPr>
              <w:t>13</w:t>
            </w:r>
          </w:p>
        </w:tc>
        <w:tc>
          <w:tcPr>
            <w:tcW w:w="3897" w:type="pct"/>
            <w:shd w:val="clear" w:color="auto" w:fill="FFFFFF"/>
            <w:vAlign w:val="center"/>
          </w:tcPr>
          <w:p>
            <w:pPr>
              <w:spacing w:line="480" w:lineRule="exact"/>
              <w:jc w:val="both"/>
              <w:rPr>
                <w:rFonts w:ascii="仿宋" w:hAnsi="仿宋" w:eastAsia="仿宋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核心一级资本净额</w:t>
            </w:r>
          </w:p>
        </w:tc>
        <w:tc>
          <w:tcPr>
            <w:tcW w:w="14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_GB2312"/>
                <w:color w:val="00000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12103.41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38" w:type="pc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ascii="仿宋" w:hAnsi="仿宋" w:eastAsia="仿宋" w:cs="仿宋_GB2312"/>
                <w:color w:val="000000"/>
              </w:rPr>
              <w:t>14</w:t>
            </w:r>
          </w:p>
        </w:tc>
        <w:tc>
          <w:tcPr>
            <w:tcW w:w="3897" w:type="pct"/>
            <w:shd w:val="clear" w:color="auto" w:fill="FFFFFF"/>
            <w:vAlign w:val="center"/>
          </w:tcPr>
          <w:p>
            <w:pPr>
              <w:spacing w:line="480" w:lineRule="exact"/>
              <w:jc w:val="both"/>
              <w:rPr>
                <w:rFonts w:ascii="仿宋" w:hAnsi="仿宋" w:eastAsia="仿宋" w:cs="仿宋_GB2312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lang w:eastAsia="zh-CN"/>
              </w:rPr>
              <w:t>监管认可的其他资本工具</w:t>
            </w:r>
          </w:p>
        </w:tc>
        <w:tc>
          <w:tcPr>
            <w:tcW w:w="14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仿宋_GB2312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38" w:type="pc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ascii="仿宋" w:hAnsi="仿宋" w:eastAsia="仿宋" w:cs="仿宋_GB2312"/>
                <w:color w:val="000000"/>
              </w:rPr>
              <w:t>15</w:t>
            </w:r>
          </w:p>
        </w:tc>
        <w:tc>
          <w:tcPr>
            <w:tcW w:w="3897" w:type="pct"/>
            <w:shd w:val="clear" w:color="auto" w:fill="FFFFFF"/>
            <w:vAlign w:val="center"/>
          </w:tcPr>
          <w:p>
            <w:pPr>
              <w:spacing w:line="480" w:lineRule="exact"/>
              <w:jc w:val="both"/>
              <w:rPr>
                <w:rFonts w:ascii="仿宋" w:hAnsi="仿宋" w:eastAsia="仿宋" w:cs="仿宋_GB2312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lang w:eastAsia="zh-TW"/>
              </w:rPr>
              <w:t>超额损失准备可计入部分</w:t>
            </w:r>
          </w:p>
        </w:tc>
        <w:tc>
          <w:tcPr>
            <w:tcW w:w="14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仿宋_GB2312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1766.58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38" w:type="pc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ascii="仿宋" w:hAnsi="仿宋" w:eastAsia="仿宋" w:cs="仿宋_GB2312"/>
                <w:color w:val="000000"/>
              </w:rPr>
              <w:t>16</w:t>
            </w:r>
          </w:p>
        </w:tc>
        <w:tc>
          <w:tcPr>
            <w:tcW w:w="3897" w:type="pct"/>
            <w:shd w:val="clear" w:color="auto" w:fill="FFFFFF"/>
            <w:vAlign w:val="center"/>
          </w:tcPr>
          <w:p>
            <w:pPr>
              <w:spacing w:line="480" w:lineRule="exact"/>
              <w:jc w:val="both"/>
              <w:rPr>
                <w:rFonts w:ascii="仿宋" w:hAnsi="仿宋" w:eastAsia="仿宋" w:cs="宋体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监管调整前的其他资本</w:t>
            </w:r>
          </w:p>
        </w:tc>
        <w:tc>
          <w:tcPr>
            <w:tcW w:w="14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仿宋_GB2312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1766.58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8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ascii="仿宋" w:hAnsi="仿宋" w:eastAsia="仿宋" w:cs="仿宋_GB2312"/>
                <w:color w:val="000000"/>
              </w:rPr>
              <w:t>17</w:t>
            </w:r>
          </w:p>
        </w:tc>
        <w:tc>
          <w:tcPr>
            <w:tcW w:w="3897" w:type="pct"/>
            <w:vAlign w:val="center"/>
          </w:tcPr>
          <w:p>
            <w:pPr>
              <w:spacing w:line="480" w:lineRule="exact"/>
              <w:jc w:val="both"/>
              <w:rPr>
                <w:rFonts w:ascii="仿宋" w:hAnsi="仿宋" w:eastAsia="仿宋" w:cs="仿宋_GB2312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_GB2312"/>
                <w:lang w:eastAsia="zh-CN"/>
              </w:rPr>
              <w:t>持有的金融机构二级资本工具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仿宋_GB2312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38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ascii="仿宋" w:hAnsi="仿宋" w:eastAsia="仿宋" w:cs="仿宋_GB2312"/>
                <w:color w:val="000000"/>
              </w:rPr>
              <w:t>18</w:t>
            </w:r>
          </w:p>
        </w:tc>
        <w:tc>
          <w:tcPr>
            <w:tcW w:w="3897" w:type="pct"/>
            <w:vAlign w:val="center"/>
          </w:tcPr>
          <w:p>
            <w:pPr>
              <w:spacing w:line="480" w:lineRule="exact"/>
              <w:jc w:val="both"/>
              <w:rPr>
                <w:rFonts w:ascii="仿宋" w:hAnsi="仿宋" w:eastAsia="仿宋" w:cs="仿宋_GB2312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_GB2312"/>
                <w:lang w:eastAsia="zh-CN"/>
              </w:rPr>
              <w:t>持有本银行或第三档商业银行的其他资本工具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仿宋_GB2312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38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ascii="仿宋" w:hAnsi="仿宋" w:eastAsia="仿宋" w:cs="仿宋_GB2312"/>
                <w:color w:val="000000"/>
              </w:rPr>
              <w:t>19</w:t>
            </w:r>
          </w:p>
        </w:tc>
        <w:tc>
          <w:tcPr>
            <w:tcW w:w="3897" w:type="pct"/>
            <w:vAlign w:val="center"/>
          </w:tcPr>
          <w:p>
            <w:pPr>
              <w:spacing w:line="480" w:lineRule="exact"/>
              <w:jc w:val="both"/>
              <w:rPr>
                <w:rFonts w:ascii="仿宋" w:hAnsi="仿宋" w:eastAsia="仿宋" w:cs="仿宋_GB2312"/>
                <w:color w:val="000000"/>
                <w:lang w:eastAsia="zh-TW"/>
              </w:rPr>
            </w:pPr>
            <w:r>
              <w:rPr>
                <w:rFonts w:hint="eastAsia" w:ascii="仿宋" w:hAnsi="仿宋" w:eastAsia="仿宋" w:cs="仿宋_GB2312"/>
                <w:lang w:eastAsia="zh-CN"/>
              </w:rPr>
              <w:t>监管规定的其他应从其他资本中扣除的项目合计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仿宋_GB2312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38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ascii="仿宋" w:hAnsi="仿宋" w:eastAsia="仿宋" w:cs="仿宋_GB2312"/>
                <w:color w:val="000000"/>
              </w:rPr>
              <w:t>20</w:t>
            </w:r>
          </w:p>
        </w:tc>
        <w:tc>
          <w:tcPr>
            <w:tcW w:w="3897" w:type="pct"/>
            <w:vAlign w:val="center"/>
          </w:tcPr>
          <w:p>
            <w:pPr>
              <w:spacing w:line="480" w:lineRule="exact"/>
              <w:jc w:val="both"/>
              <w:rPr>
                <w:rFonts w:ascii="仿宋" w:hAnsi="仿宋" w:eastAsia="仿宋" w:cs="宋体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其他资本监管调整总和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仿宋_GB2312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38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ascii="仿宋" w:hAnsi="仿宋" w:eastAsia="仿宋" w:cs="仿宋_GB2312"/>
                <w:color w:val="000000"/>
              </w:rPr>
              <w:t>21</w:t>
            </w:r>
          </w:p>
        </w:tc>
        <w:tc>
          <w:tcPr>
            <w:tcW w:w="3897" w:type="pct"/>
            <w:vAlign w:val="center"/>
          </w:tcPr>
          <w:p>
            <w:pPr>
              <w:spacing w:line="480" w:lineRule="exact"/>
              <w:jc w:val="both"/>
              <w:rPr>
                <w:rFonts w:ascii="仿宋" w:hAnsi="仿宋" w:eastAsia="仿宋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其他资本净额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38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ascii="仿宋" w:hAnsi="仿宋" w:eastAsia="仿宋" w:cs="仿宋_GB2312"/>
                <w:color w:val="000000"/>
              </w:rPr>
              <w:t>22</w:t>
            </w:r>
          </w:p>
        </w:tc>
        <w:tc>
          <w:tcPr>
            <w:tcW w:w="3897" w:type="pct"/>
            <w:vAlign w:val="center"/>
          </w:tcPr>
          <w:p>
            <w:pPr>
              <w:spacing w:line="480" w:lineRule="exact"/>
              <w:jc w:val="both"/>
              <w:rPr>
                <w:rFonts w:ascii="仿宋" w:hAnsi="仿宋" w:eastAsia="仿宋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总资本净额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_GB2312"/>
                <w:color w:val="000000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12103.41</w:t>
            </w:r>
          </w:p>
        </w:tc>
      </w:tr>
    </w:tbl>
    <w:p>
      <w:pPr>
        <w:spacing w:line="20" w:lineRule="exact"/>
        <w:rPr>
          <w:rFonts w:ascii="仿宋" w:hAnsi="仿宋" w:eastAsia="仿宋" w:cs="仿宋"/>
          <w:lang w:eastAsia="zh-CN"/>
        </w:rPr>
      </w:pPr>
    </w:p>
    <w:sectPr>
      <w:footerReference r:id="rId3" w:type="default"/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6050"/>
    <w:rsid w:val="000D54ED"/>
    <w:rsid w:val="00102C97"/>
    <w:rsid w:val="001501A6"/>
    <w:rsid w:val="00172A27"/>
    <w:rsid w:val="001F2BBF"/>
    <w:rsid w:val="002072B6"/>
    <w:rsid w:val="00215F8A"/>
    <w:rsid w:val="0025279F"/>
    <w:rsid w:val="0032343D"/>
    <w:rsid w:val="00331308"/>
    <w:rsid w:val="004E1169"/>
    <w:rsid w:val="00506C42"/>
    <w:rsid w:val="005E4D9E"/>
    <w:rsid w:val="006E6510"/>
    <w:rsid w:val="00731161"/>
    <w:rsid w:val="0083533D"/>
    <w:rsid w:val="00844913"/>
    <w:rsid w:val="00894CEA"/>
    <w:rsid w:val="009D0FB6"/>
    <w:rsid w:val="009D3B92"/>
    <w:rsid w:val="00B87DD9"/>
    <w:rsid w:val="00EA19F5"/>
    <w:rsid w:val="0414292B"/>
    <w:rsid w:val="08F972CE"/>
    <w:rsid w:val="09CD2478"/>
    <w:rsid w:val="0E8D6AC8"/>
    <w:rsid w:val="0FE8639C"/>
    <w:rsid w:val="16941521"/>
    <w:rsid w:val="1AED137F"/>
    <w:rsid w:val="223363AA"/>
    <w:rsid w:val="292117F2"/>
    <w:rsid w:val="33191FB8"/>
    <w:rsid w:val="359527F5"/>
    <w:rsid w:val="3B084B8F"/>
    <w:rsid w:val="456E53FE"/>
    <w:rsid w:val="484B4B89"/>
    <w:rsid w:val="4AB63FB4"/>
    <w:rsid w:val="4C2645C5"/>
    <w:rsid w:val="4D3D0AB6"/>
    <w:rsid w:val="52FE6B4C"/>
    <w:rsid w:val="553D751D"/>
    <w:rsid w:val="56FF5ECE"/>
    <w:rsid w:val="688D562B"/>
    <w:rsid w:val="68BB73E0"/>
    <w:rsid w:val="6AC67A04"/>
    <w:rsid w:val="6CC249E2"/>
    <w:rsid w:val="7BA4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5">
    <w:name w:val="Table Grid"/>
    <w:basedOn w:val="4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133</Words>
  <Characters>759</Characters>
  <Lines>6</Lines>
  <Paragraphs>1</Paragraphs>
  <TotalTime>4</TotalTime>
  <ScaleCrop>false</ScaleCrop>
  <LinksUpToDate>false</LinksUpToDate>
  <CharactersWithSpaces>891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2024-08-14T01:42:00Z</dcterms:created>
  <dc:creator>何时凤</dc:creator>
  <cp:lastModifiedBy>SC-818084</cp:lastModifiedBy>
  <cp:lastPrinted>2024-04-26T03:51:00Z</cp:lastPrinted>
  <dcterms:modified xsi:type="dcterms:W3CDTF">2025-03-31T05:40:22Z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540C4703F93D48FCB03F691F380AC879</vt:lpwstr>
  </property>
</Properties>
</file>