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江苏赣榆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兴福村镇银行股份有限公司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年半年度第三支柱信息披露报告</w:t>
      </w:r>
    </w:p>
    <w:p>
      <w:pPr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ind w:firstLine="640" w:firstLineChars="200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公司为非国内系统重要性银行，根据《商业银行资本管理办法》（以下简称“办法”），公司属于第三档商业银行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，按照办法附件</w:t>
      </w:r>
      <w:r>
        <w:rPr>
          <w:rFonts w:ascii="仿宋" w:hAnsi="仿宋" w:eastAsia="仿宋" w:cs="仿宋"/>
          <w:sz w:val="32"/>
          <w:szCs w:val="32"/>
          <w:lang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《第三档商业银行资本监管规定》，本期公司需披露的报表如下：</w:t>
      </w:r>
    </w:p>
    <w:p>
      <w:pPr>
        <w:spacing w:before="156" w:beforeLines="50"/>
        <w:jc w:val="center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关键审慎监管指标</w:t>
      </w:r>
    </w:p>
    <w:p>
      <w:pPr>
        <w:jc w:val="right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单位：人民币万元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209"/>
        <w:gridCol w:w="1301"/>
        <w:gridCol w:w="135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0" w:type="dxa"/>
            <w:gridSpan w:val="2"/>
            <w:vMerge w:val="restart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  <w:lang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a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0" w:type="dxa"/>
            <w:gridSpan w:val="2"/>
            <w:vMerge w:val="continue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T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T-1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20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可用资本（数额）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1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核心一级资本净额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9644.12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7885.18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2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资本净额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11080.67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8258.82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20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  <w:lang w:eastAsia="zh-CN"/>
              </w:rPr>
              <w:t>风险加权资产（数额）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3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信用风险加权资产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27321.95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16635.83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4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操作风险加权资产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1977.64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2135.25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5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风险加权资产合计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29299.59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18771.08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20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资本充足率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6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核心一级资本充足率（</w:t>
            </w:r>
            <w:r>
              <w:rPr>
                <w:rFonts w:ascii="仿宋" w:hAnsi="仿宋" w:eastAsia="仿宋" w:cs="Arial Unicode MS"/>
                <w:color w:val="000000"/>
                <w:lang w:eastAsia="zh-CN"/>
              </w:rPr>
              <w:t>%）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32.92%</w:t>
            </w:r>
          </w:p>
        </w:tc>
        <w:tc>
          <w:tcPr>
            <w:tcW w:w="1359" w:type="dxa"/>
            <w:tcBorders>
              <w:right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42.01%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7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资本充足率（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37.82%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44.00%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20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杠杆率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8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调整后表内外资产余额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51729.02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37102.68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9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杠杆率</w:t>
            </w:r>
            <w:r>
              <w:rPr>
                <w:rFonts w:hint="eastAsia" w:ascii="仿宋" w:hAnsi="仿宋" w:eastAsia="仿宋" w:cs="Arial Unicode MS"/>
                <w:color w:val="000000"/>
              </w:rPr>
              <w:t>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18.64%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21.25%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10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杠杆率a</w:t>
            </w:r>
            <w:r>
              <w:rPr>
                <w:rFonts w:hint="eastAsia" w:ascii="仿宋" w:hAnsi="仿宋" w:eastAsia="仿宋" w:cs="Arial Unicode MS"/>
                <w:color w:val="000000"/>
              </w:rPr>
              <w:t>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18.64%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21.25%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20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流动性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11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优质流动性资产充足率（</w:t>
            </w:r>
            <w:r>
              <w:rPr>
                <w:rFonts w:ascii="仿宋" w:hAnsi="仿宋" w:eastAsia="仿宋" w:cs="Arial Unicode MS"/>
                <w:color w:val="000000"/>
                <w:lang w:eastAsia="zh-CN"/>
              </w:rPr>
              <w:t>%）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22.71%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19.72%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12</w:t>
            </w:r>
          </w:p>
        </w:tc>
        <w:tc>
          <w:tcPr>
            <w:tcW w:w="5209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流动性比例（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582.82%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962.66%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13</w:t>
            </w:r>
          </w:p>
        </w:tc>
        <w:tc>
          <w:tcPr>
            <w:tcW w:w="5209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流动性匹配率（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207.25%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231.98%</w:t>
            </w:r>
          </w:p>
        </w:tc>
      </w:tr>
    </w:tbl>
    <w:p>
      <w:pPr>
        <w:rPr>
          <w:rFonts w:ascii="仿宋" w:hAnsi="仿宋" w:eastAsia="仿宋" w:cs="仿宋"/>
          <w:lang w:eastAsia="zh-CN"/>
        </w:rPr>
      </w:pPr>
    </w:p>
    <w:p>
      <w:pPr>
        <w:pStyle w:val="3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30"/>
          <w:szCs w:val="30"/>
        </w:rPr>
        <w:t>日</w:t>
      </w:r>
    </w:p>
    <w:p/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pgNumType w:fmt="decimal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default" w:eastAsia="方正小标宋_GBK"/>
        <w:lang w:val="en-US" w:eastAsia="zh-CN"/>
      </w:rPr>
    </w:pPr>
    <w:r>
      <w:rPr>
        <w:rFonts w:hint="eastAsia" w:ascii="方正小标宋_GBK" w:hAnsi="方正小标宋_GBK" w:eastAsia="方正小标宋_GBK" w:cs="方正小标宋_GBK"/>
        <w:kern w:val="0"/>
        <w:sz w:val="21"/>
        <w:szCs w:val="21"/>
        <w:lang w:eastAsia="zh-CN"/>
      </w:rPr>
      <w:t>赣榆</w:t>
    </w:r>
    <w:r>
      <w:rPr>
        <w:rFonts w:hint="eastAsia" w:ascii="方正小标宋_GBK" w:hAnsi="方正小标宋_GBK" w:eastAsia="方正小标宋_GBK" w:cs="方正小标宋_GBK"/>
        <w:kern w:val="0"/>
        <w:sz w:val="21"/>
        <w:szCs w:val="21"/>
      </w:rPr>
      <w:t>兴福村镇银行第</w:t>
    </w:r>
    <w:r>
      <w:rPr>
        <w:rFonts w:hint="eastAsia" w:ascii="方正小标宋_GBK" w:hAnsi="方正小标宋_GBK" w:eastAsia="方正小标宋_GBK" w:cs="方正小标宋_GBK"/>
        <w:kern w:val="0"/>
        <w:sz w:val="21"/>
        <w:szCs w:val="21"/>
        <w:lang w:val="en-US" w:eastAsia="zh-CN"/>
      </w:rPr>
      <w:t>四</w:t>
    </w:r>
    <w:r>
      <w:rPr>
        <w:rFonts w:hint="eastAsia" w:ascii="方正小标宋_GBK" w:hAnsi="方正小标宋_GBK" w:eastAsia="方正小标宋_GBK" w:cs="方正小标宋_GBK"/>
        <w:kern w:val="0"/>
        <w:sz w:val="21"/>
        <w:szCs w:val="21"/>
      </w:rPr>
      <w:t>届董事会第</w:t>
    </w:r>
    <w:r>
      <w:rPr>
        <w:rFonts w:hint="eastAsia" w:ascii="方正小标宋_GBK" w:hAnsi="方正小标宋_GBK" w:eastAsia="方正小标宋_GBK" w:cs="方正小标宋_GBK"/>
        <w:kern w:val="0"/>
        <w:sz w:val="21"/>
        <w:szCs w:val="21"/>
        <w:lang w:val="en-US" w:eastAsia="zh-CN"/>
      </w:rPr>
      <w:t>十</w:t>
    </w:r>
    <w:r>
      <w:rPr>
        <w:rFonts w:hint="eastAsia" w:ascii="方正小标宋_GBK" w:hAnsi="方正小标宋_GBK" w:eastAsia="方正小标宋_GBK" w:cs="方正小标宋_GBK"/>
        <w:kern w:val="0"/>
        <w:sz w:val="21"/>
        <w:szCs w:val="21"/>
      </w:rPr>
      <w:t xml:space="preserve">次会议材料         </w:t>
    </w:r>
    <w:r>
      <w:rPr>
        <w:rFonts w:ascii="方正小标宋_GBK" w:hAnsi="方正小标宋_GBK" w:eastAsia="方正小标宋_GBK" w:cs="方正小标宋_GBK"/>
        <w:kern w:val="0"/>
        <w:sz w:val="21"/>
        <w:szCs w:val="21"/>
      </w:rPr>
      <w:t xml:space="preserve">  </w:t>
    </w:r>
    <w:r>
      <w:rPr>
        <w:rFonts w:hint="eastAsia" w:ascii="方正小标宋_GBK" w:hAnsi="方正小标宋_GBK" w:eastAsia="方正小标宋_GBK" w:cs="方正小标宋_GBK"/>
        <w:kern w:val="0"/>
        <w:sz w:val="21"/>
        <w:szCs w:val="21"/>
      </w:rPr>
      <w:t xml:space="preserve">                议案编号：</w:t>
    </w:r>
    <w:r>
      <w:rPr>
        <w:rFonts w:hint="eastAsia" w:ascii="方正小标宋_GBK" w:hAnsi="方正小标宋_GBK" w:eastAsia="方正小标宋_GBK" w:cs="方正小标宋_GBK"/>
        <w:kern w:val="0"/>
        <w:sz w:val="21"/>
        <w:szCs w:val="21"/>
        <w:lang w:val="en-US" w:eastAsia="zh-CN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mZmNDRmZDU3MGI4YjJiNDY4ZmEwZjM1MDA1NmYifQ=="/>
  </w:docVars>
  <w:rsids>
    <w:rsidRoot w:val="00000000"/>
    <w:rsid w:val="00363C06"/>
    <w:rsid w:val="00762FE7"/>
    <w:rsid w:val="007813E9"/>
    <w:rsid w:val="008F5632"/>
    <w:rsid w:val="00927310"/>
    <w:rsid w:val="00991938"/>
    <w:rsid w:val="00A819D1"/>
    <w:rsid w:val="00B15AB6"/>
    <w:rsid w:val="00CE19EF"/>
    <w:rsid w:val="00F36317"/>
    <w:rsid w:val="01200022"/>
    <w:rsid w:val="01253BB3"/>
    <w:rsid w:val="012F1882"/>
    <w:rsid w:val="01460472"/>
    <w:rsid w:val="0146526F"/>
    <w:rsid w:val="015D0E39"/>
    <w:rsid w:val="017630FA"/>
    <w:rsid w:val="019B5487"/>
    <w:rsid w:val="019C229C"/>
    <w:rsid w:val="019C5DF8"/>
    <w:rsid w:val="019D3A76"/>
    <w:rsid w:val="01E25BBC"/>
    <w:rsid w:val="01F0602C"/>
    <w:rsid w:val="020C71AF"/>
    <w:rsid w:val="02315FDA"/>
    <w:rsid w:val="02334D45"/>
    <w:rsid w:val="02697E76"/>
    <w:rsid w:val="027E2AD2"/>
    <w:rsid w:val="02800504"/>
    <w:rsid w:val="02A44B4A"/>
    <w:rsid w:val="02D35F3D"/>
    <w:rsid w:val="02D93F27"/>
    <w:rsid w:val="02ED6820"/>
    <w:rsid w:val="030F4A4F"/>
    <w:rsid w:val="033431A7"/>
    <w:rsid w:val="0349679C"/>
    <w:rsid w:val="037E009D"/>
    <w:rsid w:val="0397665C"/>
    <w:rsid w:val="03C55730"/>
    <w:rsid w:val="03F4704C"/>
    <w:rsid w:val="03FD056F"/>
    <w:rsid w:val="040C3489"/>
    <w:rsid w:val="041F173B"/>
    <w:rsid w:val="042D4EEF"/>
    <w:rsid w:val="04525DCF"/>
    <w:rsid w:val="04701C7A"/>
    <w:rsid w:val="048660E1"/>
    <w:rsid w:val="048B211B"/>
    <w:rsid w:val="049537CF"/>
    <w:rsid w:val="04AD6C6C"/>
    <w:rsid w:val="04BB0D18"/>
    <w:rsid w:val="04E571A9"/>
    <w:rsid w:val="053C3C82"/>
    <w:rsid w:val="054151F2"/>
    <w:rsid w:val="05552FE0"/>
    <w:rsid w:val="05616CBD"/>
    <w:rsid w:val="0563180E"/>
    <w:rsid w:val="05A31DBE"/>
    <w:rsid w:val="05A85D8D"/>
    <w:rsid w:val="05A96A80"/>
    <w:rsid w:val="05C71537"/>
    <w:rsid w:val="05CC447A"/>
    <w:rsid w:val="05CF27A9"/>
    <w:rsid w:val="05CF2FA2"/>
    <w:rsid w:val="05F41CC5"/>
    <w:rsid w:val="06213301"/>
    <w:rsid w:val="063F73B5"/>
    <w:rsid w:val="0668588D"/>
    <w:rsid w:val="067B6E3D"/>
    <w:rsid w:val="069C5ACF"/>
    <w:rsid w:val="06A06E7B"/>
    <w:rsid w:val="06AA405B"/>
    <w:rsid w:val="06CD7ACC"/>
    <w:rsid w:val="06D27347"/>
    <w:rsid w:val="06E251B8"/>
    <w:rsid w:val="0708694C"/>
    <w:rsid w:val="070F4308"/>
    <w:rsid w:val="071F3139"/>
    <w:rsid w:val="073A20B0"/>
    <w:rsid w:val="07420304"/>
    <w:rsid w:val="075B6BED"/>
    <w:rsid w:val="076F460C"/>
    <w:rsid w:val="077907E9"/>
    <w:rsid w:val="07853F30"/>
    <w:rsid w:val="079A4600"/>
    <w:rsid w:val="07A759C4"/>
    <w:rsid w:val="07BD634B"/>
    <w:rsid w:val="07C97915"/>
    <w:rsid w:val="07E90322"/>
    <w:rsid w:val="07F56AD9"/>
    <w:rsid w:val="082124EC"/>
    <w:rsid w:val="082A7F0D"/>
    <w:rsid w:val="08407E05"/>
    <w:rsid w:val="0855133D"/>
    <w:rsid w:val="0861243A"/>
    <w:rsid w:val="08656AA9"/>
    <w:rsid w:val="08725601"/>
    <w:rsid w:val="088327C5"/>
    <w:rsid w:val="088874AF"/>
    <w:rsid w:val="08964089"/>
    <w:rsid w:val="08B022ED"/>
    <w:rsid w:val="08B154D7"/>
    <w:rsid w:val="08B7331B"/>
    <w:rsid w:val="08C10885"/>
    <w:rsid w:val="08C27097"/>
    <w:rsid w:val="08E22788"/>
    <w:rsid w:val="08EE1418"/>
    <w:rsid w:val="08FB6867"/>
    <w:rsid w:val="09132204"/>
    <w:rsid w:val="09172C22"/>
    <w:rsid w:val="092A474D"/>
    <w:rsid w:val="092D6931"/>
    <w:rsid w:val="096374D2"/>
    <w:rsid w:val="097368A5"/>
    <w:rsid w:val="09774245"/>
    <w:rsid w:val="09A229F0"/>
    <w:rsid w:val="09A80F5F"/>
    <w:rsid w:val="09D575A4"/>
    <w:rsid w:val="09E86CD3"/>
    <w:rsid w:val="09EF5AF4"/>
    <w:rsid w:val="09F00721"/>
    <w:rsid w:val="09FA5948"/>
    <w:rsid w:val="09FB58B5"/>
    <w:rsid w:val="0A131BCF"/>
    <w:rsid w:val="0A143BD8"/>
    <w:rsid w:val="0A253C86"/>
    <w:rsid w:val="0A3C40C6"/>
    <w:rsid w:val="0A4906CA"/>
    <w:rsid w:val="0A552931"/>
    <w:rsid w:val="0AA005DC"/>
    <w:rsid w:val="0AA141D1"/>
    <w:rsid w:val="0AAE6555"/>
    <w:rsid w:val="0ABC4ECC"/>
    <w:rsid w:val="0AF47769"/>
    <w:rsid w:val="0B36379E"/>
    <w:rsid w:val="0B3C5003"/>
    <w:rsid w:val="0B481623"/>
    <w:rsid w:val="0B601C96"/>
    <w:rsid w:val="0B6E3CC0"/>
    <w:rsid w:val="0B9B24E8"/>
    <w:rsid w:val="0BBD2E6D"/>
    <w:rsid w:val="0BC32FAC"/>
    <w:rsid w:val="0BD4676A"/>
    <w:rsid w:val="0C070645"/>
    <w:rsid w:val="0C0D451E"/>
    <w:rsid w:val="0C124F4E"/>
    <w:rsid w:val="0C1A28F5"/>
    <w:rsid w:val="0C2E151C"/>
    <w:rsid w:val="0C3E6EBB"/>
    <w:rsid w:val="0C4A0D96"/>
    <w:rsid w:val="0C9225B6"/>
    <w:rsid w:val="0C93674F"/>
    <w:rsid w:val="0CAE51B8"/>
    <w:rsid w:val="0CE75159"/>
    <w:rsid w:val="0CFD5B64"/>
    <w:rsid w:val="0D453EE0"/>
    <w:rsid w:val="0D543C88"/>
    <w:rsid w:val="0D7D21FD"/>
    <w:rsid w:val="0D9B160E"/>
    <w:rsid w:val="0DC7752E"/>
    <w:rsid w:val="0E231730"/>
    <w:rsid w:val="0E292F11"/>
    <w:rsid w:val="0E412AB1"/>
    <w:rsid w:val="0E5104C1"/>
    <w:rsid w:val="0E573C61"/>
    <w:rsid w:val="0E9D06B8"/>
    <w:rsid w:val="0EA42784"/>
    <w:rsid w:val="0EA64739"/>
    <w:rsid w:val="0EC00E36"/>
    <w:rsid w:val="0EC01D3C"/>
    <w:rsid w:val="0ED16036"/>
    <w:rsid w:val="0ED24764"/>
    <w:rsid w:val="0EDB0431"/>
    <w:rsid w:val="0EF435E7"/>
    <w:rsid w:val="0F192F06"/>
    <w:rsid w:val="0F400D59"/>
    <w:rsid w:val="0F6F0AB8"/>
    <w:rsid w:val="0F710A7C"/>
    <w:rsid w:val="0F94515B"/>
    <w:rsid w:val="0F9C65DD"/>
    <w:rsid w:val="0FC90FD7"/>
    <w:rsid w:val="0FFE5591"/>
    <w:rsid w:val="1004104B"/>
    <w:rsid w:val="100D01C8"/>
    <w:rsid w:val="101A6AD6"/>
    <w:rsid w:val="101D4551"/>
    <w:rsid w:val="102B3D9F"/>
    <w:rsid w:val="1034079D"/>
    <w:rsid w:val="10507456"/>
    <w:rsid w:val="107E18DF"/>
    <w:rsid w:val="10922D1E"/>
    <w:rsid w:val="10937541"/>
    <w:rsid w:val="1099420E"/>
    <w:rsid w:val="10A87AA1"/>
    <w:rsid w:val="10B771C4"/>
    <w:rsid w:val="10C01EA6"/>
    <w:rsid w:val="10D418E6"/>
    <w:rsid w:val="10DF5BB9"/>
    <w:rsid w:val="11041060"/>
    <w:rsid w:val="110534EF"/>
    <w:rsid w:val="110B419C"/>
    <w:rsid w:val="11106330"/>
    <w:rsid w:val="112640F1"/>
    <w:rsid w:val="114205B9"/>
    <w:rsid w:val="11750C75"/>
    <w:rsid w:val="11785C5C"/>
    <w:rsid w:val="11A106B1"/>
    <w:rsid w:val="11DF1468"/>
    <w:rsid w:val="11E65B7C"/>
    <w:rsid w:val="11F7542C"/>
    <w:rsid w:val="120256ED"/>
    <w:rsid w:val="12075E40"/>
    <w:rsid w:val="121C1F01"/>
    <w:rsid w:val="12400AC9"/>
    <w:rsid w:val="125B78BA"/>
    <w:rsid w:val="125D03A0"/>
    <w:rsid w:val="12894BCC"/>
    <w:rsid w:val="128C6CC6"/>
    <w:rsid w:val="1294411F"/>
    <w:rsid w:val="1298122F"/>
    <w:rsid w:val="12B71B78"/>
    <w:rsid w:val="12C56337"/>
    <w:rsid w:val="12E829E7"/>
    <w:rsid w:val="12FF6B81"/>
    <w:rsid w:val="131E089D"/>
    <w:rsid w:val="132B0C24"/>
    <w:rsid w:val="13343A47"/>
    <w:rsid w:val="133F1D1F"/>
    <w:rsid w:val="137C4C43"/>
    <w:rsid w:val="13CD43E6"/>
    <w:rsid w:val="13FD6B48"/>
    <w:rsid w:val="13FE27D1"/>
    <w:rsid w:val="14095F71"/>
    <w:rsid w:val="141A5C4D"/>
    <w:rsid w:val="141D61CF"/>
    <w:rsid w:val="1433057D"/>
    <w:rsid w:val="143A3648"/>
    <w:rsid w:val="14407FB8"/>
    <w:rsid w:val="14581624"/>
    <w:rsid w:val="1484665F"/>
    <w:rsid w:val="14901D6E"/>
    <w:rsid w:val="149A0A65"/>
    <w:rsid w:val="14B61326"/>
    <w:rsid w:val="14B7119C"/>
    <w:rsid w:val="14EE5E4B"/>
    <w:rsid w:val="14F91B96"/>
    <w:rsid w:val="150679C2"/>
    <w:rsid w:val="15190196"/>
    <w:rsid w:val="15200470"/>
    <w:rsid w:val="15504C28"/>
    <w:rsid w:val="15506ACE"/>
    <w:rsid w:val="1566681D"/>
    <w:rsid w:val="15676995"/>
    <w:rsid w:val="1595136D"/>
    <w:rsid w:val="159631C1"/>
    <w:rsid w:val="15AF2768"/>
    <w:rsid w:val="15B320E2"/>
    <w:rsid w:val="15C21EB3"/>
    <w:rsid w:val="15DC25AB"/>
    <w:rsid w:val="15EB6E09"/>
    <w:rsid w:val="15F41005"/>
    <w:rsid w:val="1626493F"/>
    <w:rsid w:val="166613C0"/>
    <w:rsid w:val="16665128"/>
    <w:rsid w:val="167D702E"/>
    <w:rsid w:val="16850783"/>
    <w:rsid w:val="16D7701F"/>
    <w:rsid w:val="170B30DA"/>
    <w:rsid w:val="170B6CAC"/>
    <w:rsid w:val="17197A47"/>
    <w:rsid w:val="172E5FE0"/>
    <w:rsid w:val="173317E3"/>
    <w:rsid w:val="174F4957"/>
    <w:rsid w:val="175D2A01"/>
    <w:rsid w:val="177C4A06"/>
    <w:rsid w:val="17975978"/>
    <w:rsid w:val="17A37BAF"/>
    <w:rsid w:val="17B069A3"/>
    <w:rsid w:val="17B76F37"/>
    <w:rsid w:val="17EE3495"/>
    <w:rsid w:val="1808578E"/>
    <w:rsid w:val="181705C3"/>
    <w:rsid w:val="18757986"/>
    <w:rsid w:val="18785920"/>
    <w:rsid w:val="189B3B08"/>
    <w:rsid w:val="18B1350D"/>
    <w:rsid w:val="18CD2BF1"/>
    <w:rsid w:val="18DC058C"/>
    <w:rsid w:val="18E32076"/>
    <w:rsid w:val="18ED131C"/>
    <w:rsid w:val="190E1849"/>
    <w:rsid w:val="190E20BF"/>
    <w:rsid w:val="193B0D01"/>
    <w:rsid w:val="193C099D"/>
    <w:rsid w:val="193D79F9"/>
    <w:rsid w:val="19A34280"/>
    <w:rsid w:val="19B557EA"/>
    <w:rsid w:val="19DF3FD4"/>
    <w:rsid w:val="1A204440"/>
    <w:rsid w:val="1A5621EC"/>
    <w:rsid w:val="1AD9508D"/>
    <w:rsid w:val="1B00558D"/>
    <w:rsid w:val="1B127C38"/>
    <w:rsid w:val="1B24438C"/>
    <w:rsid w:val="1B503C92"/>
    <w:rsid w:val="1B52437D"/>
    <w:rsid w:val="1BBA073A"/>
    <w:rsid w:val="1C0B4423"/>
    <w:rsid w:val="1C524EFB"/>
    <w:rsid w:val="1C59581B"/>
    <w:rsid w:val="1C614F4A"/>
    <w:rsid w:val="1C9901E0"/>
    <w:rsid w:val="1C9A7DEE"/>
    <w:rsid w:val="1CA213B9"/>
    <w:rsid w:val="1CA8149F"/>
    <w:rsid w:val="1CEC0053"/>
    <w:rsid w:val="1CED67AE"/>
    <w:rsid w:val="1D2C167E"/>
    <w:rsid w:val="1D2F2922"/>
    <w:rsid w:val="1D311D47"/>
    <w:rsid w:val="1D3801BC"/>
    <w:rsid w:val="1D531985"/>
    <w:rsid w:val="1D6148E1"/>
    <w:rsid w:val="1DB81CF8"/>
    <w:rsid w:val="1DEE6915"/>
    <w:rsid w:val="1E0B3E05"/>
    <w:rsid w:val="1E2C3E7F"/>
    <w:rsid w:val="1E3036FF"/>
    <w:rsid w:val="1E47397F"/>
    <w:rsid w:val="1E495C0B"/>
    <w:rsid w:val="1E4F0FC0"/>
    <w:rsid w:val="1EC2719B"/>
    <w:rsid w:val="1ED90489"/>
    <w:rsid w:val="1F0F53EE"/>
    <w:rsid w:val="1F553ABA"/>
    <w:rsid w:val="1F5D4D0B"/>
    <w:rsid w:val="1FC05BD0"/>
    <w:rsid w:val="1FCA3A6C"/>
    <w:rsid w:val="1FDA66C9"/>
    <w:rsid w:val="1FDF1630"/>
    <w:rsid w:val="1FEA0589"/>
    <w:rsid w:val="1FF67A20"/>
    <w:rsid w:val="1FF8715C"/>
    <w:rsid w:val="20060461"/>
    <w:rsid w:val="203D45CE"/>
    <w:rsid w:val="20402893"/>
    <w:rsid w:val="204F42D3"/>
    <w:rsid w:val="206712D9"/>
    <w:rsid w:val="20865C3C"/>
    <w:rsid w:val="209707D4"/>
    <w:rsid w:val="20980587"/>
    <w:rsid w:val="209F27FB"/>
    <w:rsid w:val="20A10884"/>
    <w:rsid w:val="20B72F40"/>
    <w:rsid w:val="20B82E36"/>
    <w:rsid w:val="20C03870"/>
    <w:rsid w:val="20DB55B1"/>
    <w:rsid w:val="210D43B0"/>
    <w:rsid w:val="21106557"/>
    <w:rsid w:val="214B6FE6"/>
    <w:rsid w:val="215E3C3A"/>
    <w:rsid w:val="21AD3A47"/>
    <w:rsid w:val="21BF6A5D"/>
    <w:rsid w:val="21D30044"/>
    <w:rsid w:val="21E23658"/>
    <w:rsid w:val="22204BCA"/>
    <w:rsid w:val="22295D74"/>
    <w:rsid w:val="225C00F7"/>
    <w:rsid w:val="2261371A"/>
    <w:rsid w:val="226A3E14"/>
    <w:rsid w:val="227F24EC"/>
    <w:rsid w:val="22AD63A6"/>
    <w:rsid w:val="22B50895"/>
    <w:rsid w:val="22BC0E40"/>
    <w:rsid w:val="22C86DB2"/>
    <w:rsid w:val="22EB508E"/>
    <w:rsid w:val="22ED4D1B"/>
    <w:rsid w:val="23260353"/>
    <w:rsid w:val="232E3336"/>
    <w:rsid w:val="23486F53"/>
    <w:rsid w:val="235A24D3"/>
    <w:rsid w:val="2371215A"/>
    <w:rsid w:val="23952F2F"/>
    <w:rsid w:val="23C358BC"/>
    <w:rsid w:val="23E036BF"/>
    <w:rsid w:val="242B4AB1"/>
    <w:rsid w:val="24851E86"/>
    <w:rsid w:val="24925A9D"/>
    <w:rsid w:val="24931F00"/>
    <w:rsid w:val="249F7B26"/>
    <w:rsid w:val="24D4585E"/>
    <w:rsid w:val="24F84932"/>
    <w:rsid w:val="250F2BD1"/>
    <w:rsid w:val="2511733B"/>
    <w:rsid w:val="251879D3"/>
    <w:rsid w:val="2532651A"/>
    <w:rsid w:val="2533405E"/>
    <w:rsid w:val="253433B5"/>
    <w:rsid w:val="253D7D4B"/>
    <w:rsid w:val="254525F7"/>
    <w:rsid w:val="254725B3"/>
    <w:rsid w:val="254F78C5"/>
    <w:rsid w:val="255101D6"/>
    <w:rsid w:val="256475DB"/>
    <w:rsid w:val="25665182"/>
    <w:rsid w:val="25870DA0"/>
    <w:rsid w:val="259247CF"/>
    <w:rsid w:val="25E323AB"/>
    <w:rsid w:val="25EA5C9E"/>
    <w:rsid w:val="25F868A9"/>
    <w:rsid w:val="26011DBA"/>
    <w:rsid w:val="260223CD"/>
    <w:rsid w:val="26185C0C"/>
    <w:rsid w:val="26187846"/>
    <w:rsid w:val="261D5388"/>
    <w:rsid w:val="2628359A"/>
    <w:rsid w:val="263152B3"/>
    <w:rsid w:val="26415EEC"/>
    <w:rsid w:val="26423CBB"/>
    <w:rsid w:val="269A4F6A"/>
    <w:rsid w:val="26AD3C35"/>
    <w:rsid w:val="26F06B5C"/>
    <w:rsid w:val="26F9541C"/>
    <w:rsid w:val="270F0D1D"/>
    <w:rsid w:val="27397E4E"/>
    <w:rsid w:val="273D1720"/>
    <w:rsid w:val="27561A0A"/>
    <w:rsid w:val="27650CFA"/>
    <w:rsid w:val="277112C9"/>
    <w:rsid w:val="277507BD"/>
    <w:rsid w:val="277F118A"/>
    <w:rsid w:val="278B3CC6"/>
    <w:rsid w:val="27B72441"/>
    <w:rsid w:val="27D15965"/>
    <w:rsid w:val="27D54CBC"/>
    <w:rsid w:val="27F077AE"/>
    <w:rsid w:val="27FC4816"/>
    <w:rsid w:val="28043B7C"/>
    <w:rsid w:val="28097601"/>
    <w:rsid w:val="281217A8"/>
    <w:rsid w:val="28322F9C"/>
    <w:rsid w:val="2859701A"/>
    <w:rsid w:val="285C7E40"/>
    <w:rsid w:val="2875669C"/>
    <w:rsid w:val="289B34D8"/>
    <w:rsid w:val="28CB2430"/>
    <w:rsid w:val="290161E3"/>
    <w:rsid w:val="290502A0"/>
    <w:rsid w:val="291203AF"/>
    <w:rsid w:val="294C10FB"/>
    <w:rsid w:val="295B642D"/>
    <w:rsid w:val="29897ED2"/>
    <w:rsid w:val="299231F5"/>
    <w:rsid w:val="29A32AAD"/>
    <w:rsid w:val="29C06622"/>
    <w:rsid w:val="29CD1D10"/>
    <w:rsid w:val="29CF0823"/>
    <w:rsid w:val="29D676D7"/>
    <w:rsid w:val="29E0170D"/>
    <w:rsid w:val="2A2A3802"/>
    <w:rsid w:val="2A2F0665"/>
    <w:rsid w:val="2A301379"/>
    <w:rsid w:val="2A404D64"/>
    <w:rsid w:val="2A492C4E"/>
    <w:rsid w:val="2A826D8B"/>
    <w:rsid w:val="2A987A53"/>
    <w:rsid w:val="2AA042E6"/>
    <w:rsid w:val="2AAE6B36"/>
    <w:rsid w:val="2AB9578A"/>
    <w:rsid w:val="2ABC352B"/>
    <w:rsid w:val="2AFD2F90"/>
    <w:rsid w:val="2B311971"/>
    <w:rsid w:val="2B475A07"/>
    <w:rsid w:val="2B522BA6"/>
    <w:rsid w:val="2B56136B"/>
    <w:rsid w:val="2B5849FD"/>
    <w:rsid w:val="2B65761D"/>
    <w:rsid w:val="2B8021C4"/>
    <w:rsid w:val="2B9334E8"/>
    <w:rsid w:val="2BAA2B7E"/>
    <w:rsid w:val="2BB275F6"/>
    <w:rsid w:val="2BC74C8F"/>
    <w:rsid w:val="2C030FCD"/>
    <w:rsid w:val="2C1C692A"/>
    <w:rsid w:val="2C212E37"/>
    <w:rsid w:val="2C23217B"/>
    <w:rsid w:val="2C2A293C"/>
    <w:rsid w:val="2C2A3915"/>
    <w:rsid w:val="2C3045BF"/>
    <w:rsid w:val="2C3B3CF4"/>
    <w:rsid w:val="2C4F3384"/>
    <w:rsid w:val="2C5B6A74"/>
    <w:rsid w:val="2C8D7522"/>
    <w:rsid w:val="2C986FD1"/>
    <w:rsid w:val="2C9C4074"/>
    <w:rsid w:val="2C9F0758"/>
    <w:rsid w:val="2CA45EF4"/>
    <w:rsid w:val="2CB02963"/>
    <w:rsid w:val="2CD072B2"/>
    <w:rsid w:val="2CDC3294"/>
    <w:rsid w:val="2CF66669"/>
    <w:rsid w:val="2D146009"/>
    <w:rsid w:val="2D4D3D84"/>
    <w:rsid w:val="2D5D2F59"/>
    <w:rsid w:val="2D5E7D10"/>
    <w:rsid w:val="2D911398"/>
    <w:rsid w:val="2D923E95"/>
    <w:rsid w:val="2D987D10"/>
    <w:rsid w:val="2DBB3405"/>
    <w:rsid w:val="2DC85506"/>
    <w:rsid w:val="2DD676BF"/>
    <w:rsid w:val="2DF7146E"/>
    <w:rsid w:val="2DF9158E"/>
    <w:rsid w:val="2DFB13CE"/>
    <w:rsid w:val="2DFD44C5"/>
    <w:rsid w:val="2E1C217F"/>
    <w:rsid w:val="2E2102BB"/>
    <w:rsid w:val="2E265F02"/>
    <w:rsid w:val="2E510918"/>
    <w:rsid w:val="2E6F0206"/>
    <w:rsid w:val="2E7D0536"/>
    <w:rsid w:val="2E9F0541"/>
    <w:rsid w:val="2EBB2820"/>
    <w:rsid w:val="2EEE50D8"/>
    <w:rsid w:val="2F0C78E2"/>
    <w:rsid w:val="2F137447"/>
    <w:rsid w:val="2F2337CC"/>
    <w:rsid w:val="2F357A55"/>
    <w:rsid w:val="2F48610C"/>
    <w:rsid w:val="2F6102DE"/>
    <w:rsid w:val="2F6F7444"/>
    <w:rsid w:val="2F765B4D"/>
    <w:rsid w:val="2F850675"/>
    <w:rsid w:val="2F877E9F"/>
    <w:rsid w:val="2F974D32"/>
    <w:rsid w:val="300006C5"/>
    <w:rsid w:val="300A75D7"/>
    <w:rsid w:val="30241C4F"/>
    <w:rsid w:val="30375743"/>
    <w:rsid w:val="30781B82"/>
    <w:rsid w:val="308320D0"/>
    <w:rsid w:val="30A54B59"/>
    <w:rsid w:val="30D46C07"/>
    <w:rsid w:val="311C5572"/>
    <w:rsid w:val="311E3E9C"/>
    <w:rsid w:val="312A0AE1"/>
    <w:rsid w:val="31573B26"/>
    <w:rsid w:val="317157CB"/>
    <w:rsid w:val="31720705"/>
    <w:rsid w:val="318E6AF1"/>
    <w:rsid w:val="318F2419"/>
    <w:rsid w:val="31B95F70"/>
    <w:rsid w:val="31C60EFA"/>
    <w:rsid w:val="32121B47"/>
    <w:rsid w:val="32414011"/>
    <w:rsid w:val="32990D04"/>
    <w:rsid w:val="32BE2700"/>
    <w:rsid w:val="32E176DE"/>
    <w:rsid w:val="32F66EC3"/>
    <w:rsid w:val="32F72900"/>
    <w:rsid w:val="33000EE6"/>
    <w:rsid w:val="3301304F"/>
    <w:rsid w:val="33186731"/>
    <w:rsid w:val="334022DC"/>
    <w:rsid w:val="33991441"/>
    <w:rsid w:val="33C60CE8"/>
    <w:rsid w:val="33F77592"/>
    <w:rsid w:val="33FC11A4"/>
    <w:rsid w:val="34481436"/>
    <w:rsid w:val="345D1372"/>
    <w:rsid w:val="34673236"/>
    <w:rsid w:val="346C568E"/>
    <w:rsid w:val="348E42B3"/>
    <w:rsid w:val="349F5399"/>
    <w:rsid w:val="34A07E06"/>
    <w:rsid w:val="34B51393"/>
    <w:rsid w:val="34E54E59"/>
    <w:rsid w:val="34E77413"/>
    <w:rsid w:val="34EA3AB0"/>
    <w:rsid w:val="34F63344"/>
    <w:rsid w:val="35216B49"/>
    <w:rsid w:val="3522607B"/>
    <w:rsid w:val="35235C2E"/>
    <w:rsid w:val="352A669B"/>
    <w:rsid w:val="352C1154"/>
    <w:rsid w:val="355318D1"/>
    <w:rsid w:val="35576FA1"/>
    <w:rsid w:val="35737D55"/>
    <w:rsid w:val="35986B16"/>
    <w:rsid w:val="35A17925"/>
    <w:rsid w:val="35AE68C7"/>
    <w:rsid w:val="35BD01AC"/>
    <w:rsid w:val="35CF3E9F"/>
    <w:rsid w:val="35D21E7C"/>
    <w:rsid w:val="35EC42B8"/>
    <w:rsid w:val="3610428D"/>
    <w:rsid w:val="362A492D"/>
    <w:rsid w:val="36552EEF"/>
    <w:rsid w:val="36723548"/>
    <w:rsid w:val="368155BB"/>
    <w:rsid w:val="36987933"/>
    <w:rsid w:val="36A556FF"/>
    <w:rsid w:val="36B61DB3"/>
    <w:rsid w:val="36E079CB"/>
    <w:rsid w:val="36E9193B"/>
    <w:rsid w:val="36EF4F89"/>
    <w:rsid w:val="37017AEE"/>
    <w:rsid w:val="376A0E47"/>
    <w:rsid w:val="377107D4"/>
    <w:rsid w:val="37804306"/>
    <w:rsid w:val="378F0B43"/>
    <w:rsid w:val="379023B7"/>
    <w:rsid w:val="37BA3C6E"/>
    <w:rsid w:val="37E52B5B"/>
    <w:rsid w:val="37E74733"/>
    <w:rsid w:val="37EA79EE"/>
    <w:rsid w:val="380B6702"/>
    <w:rsid w:val="380D1B7B"/>
    <w:rsid w:val="380D218F"/>
    <w:rsid w:val="38112507"/>
    <w:rsid w:val="381C44C0"/>
    <w:rsid w:val="381F419B"/>
    <w:rsid w:val="383638B5"/>
    <w:rsid w:val="385A1006"/>
    <w:rsid w:val="38624B32"/>
    <w:rsid w:val="386D1E7B"/>
    <w:rsid w:val="38960189"/>
    <w:rsid w:val="38A06659"/>
    <w:rsid w:val="38B443B0"/>
    <w:rsid w:val="38B8240E"/>
    <w:rsid w:val="38BD39FF"/>
    <w:rsid w:val="38CC15BD"/>
    <w:rsid w:val="38CC679B"/>
    <w:rsid w:val="38D438B9"/>
    <w:rsid w:val="39005727"/>
    <w:rsid w:val="39545C39"/>
    <w:rsid w:val="396C4C17"/>
    <w:rsid w:val="397C6B75"/>
    <w:rsid w:val="398D3DA4"/>
    <w:rsid w:val="399F585D"/>
    <w:rsid w:val="39A530CE"/>
    <w:rsid w:val="39B16612"/>
    <w:rsid w:val="39B21CEC"/>
    <w:rsid w:val="39B41FF3"/>
    <w:rsid w:val="39D436F0"/>
    <w:rsid w:val="39D6119A"/>
    <w:rsid w:val="39E01D7B"/>
    <w:rsid w:val="39E371AC"/>
    <w:rsid w:val="3A094476"/>
    <w:rsid w:val="3A0D769A"/>
    <w:rsid w:val="3A417616"/>
    <w:rsid w:val="3A4334C3"/>
    <w:rsid w:val="3A4622A0"/>
    <w:rsid w:val="3A6363BA"/>
    <w:rsid w:val="3AA31E05"/>
    <w:rsid w:val="3ACA117E"/>
    <w:rsid w:val="3AF35EDD"/>
    <w:rsid w:val="3B2C3542"/>
    <w:rsid w:val="3B341245"/>
    <w:rsid w:val="3B462923"/>
    <w:rsid w:val="3B4F3132"/>
    <w:rsid w:val="3B5F2D9C"/>
    <w:rsid w:val="3B6C076A"/>
    <w:rsid w:val="3B762CE9"/>
    <w:rsid w:val="3B782C50"/>
    <w:rsid w:val="3B826871"/>
    <w:rsid w:val="3B9C20CB"/>
    <w:rsid w:val="3B9E349F"/>
    <w:rsid w:val="3BFF1191"/>
    <w:rsid w:val="3C0628C8"/>
    <w:rsid w:val="3C0A79DC"/>
    <w:rsid w:val="3C2F7CFA"/>
    <w:rsid w:val="3C393ADB"/>
    <w:rsid w:val="3C5C453C"/>
    <w:rsid w:val="3C600B50"/>
    <w:rsid w:val="3C843F42"/>
    <w:rsid w:val="3C863158"/>
    <w:rsid w:val="3C9B43A0"/>
    <w:rsid w:val="3C9E3F15"/>
    <w:rsid w:val="3CA15896"/>
    <w:rsid w:val="3CB221A9"/>
    <w:rsid w:val="3CC74A4E"/>
    <w:rsid w:val="3CCA2FC7"/>
    <w:rsid w:val="3CCD2034"/>
    <w:rsid w:val="3CEF093C"/>
    <w:rsid w:val="3D184CBB"/>
    <w:rsid w:val="3D1874AE"/>
    <w:rsid w:val="3D2E5F78"/>
    <w:rsid w:val="3D551B7B"/>
    <w:rsid w:val="3D5C35AA"/>
    <w:rsid w:val="3D5D376F"/>
    <w:rsid w:val="3D5D7BE4"/>
    <w:rsid w:val="3D5E1321"/>
    <w:rsid w:val="3D6C03E5"/>
    <w:rsid w:val="3DC24F11"/>
    <w:rsid w:val="3DCE64AF"/>
    <w:rsid w:val="3DD97D0E"/>
    <w:rsid w:val="3DDA6623"/>
    <w:rsid w:val="3DE601A7"/>
    <w:rsid w:val="3DE70E52"/>
    <w:rsid w:val="3DEB38EA"/>
    <w:rsid w:val="3E340537"/>
    <w:rsid w:val="3E390BA5"/>
    <w:rsid w:val="3E532490"/>
    <w:rsid w:val="3E654241"/>
    <w:rsid w:val="3E6E3257"/>
    <w:rsid w:val="3E7F7F48"/>
    <w:rsid w:val="3E800C8E"/>
    <w:rsid w:val="3E8040F4"/>
    <w:rsid w:val="3ED83CAB"/>
    <w:rsid w:val="3EF0619F"/>
    <w:rsid w:val="3F117395"/>
    <w:rsid w:val="3F127251"/>
    <w:rsid w:val="3F2775F2"/>
    <w:rsid w:val="3F452B85"/>
    <w:rsid w:val="3F594C4E"/>
    <w:rsid w:val="3F5F5F46"/>
    <w:rsid w:val="3F65306D"/>
    <w:rsid w:val="3F752F9B"/>
    <w:rsid w:val="3F7562B0"/>
    <w:rsid w:val="3F8126B7"/>
    <w:rsid w:val="3F9268B9"/>
    <w:rsid w:val="3F9A6538"/>
    <w:rsid w:val="3FA90326"/>
    <w:rsid w:val="3FAA1701"/>
    <w:rsid w:val="3FCB2D9D"/>
    <w:rsid w:val="3FEC7132"/>
    <w:rsid w:val="40084F74"/>
    <w:rsid w:val="401E432E"/>
    <w:rsid w:val="409D55EF"/>
    <w:rsid w:val="40AD10C9"/>
    <w:rsid w:val="40DF1D7C"/>
    <w:rsid w:val="40E156E6"/>
    <w:rsid w:val="411B34FC"/>
    <w:rsid w:val="415C0893"/>
    <w:rsid w:val="41766DE3"/>
    <w:rsid w:val="418D1D78"/>
    <w:rsid w:val="41913F8D"/>
    <w:rsid w:val="419E4930"/>
    <w:rsid w:val="41BB3F09"/>
    <w:rsid w:val="41C4137E"/>
    <w:rsid w:val="41CA2663"/>
    <w:rsid w:val="420A6985"/>
    <w:rsid w:val="4217590D"/>
    <w:rsid w:val="421C0ACE"/>
    <w:rsid w:val="42201F82"/>
    <w:rsid w:val="424875E1"/>
    <w:rsid w:val="428341AF"/>
    <w:rsid w:val="429C1CDB"/>
    <w:rsid w:val="42AC7A45"/>
    <w:rsid w:val="42B63905"/>
    <w:rsid w:val="42C21728"/>
    <w:rsid w:val="42CD7D8F"/>
    <w:rsid w:val="42D120E9"/>
    <w:rsid w:val="42F21530"/>
    <w:rsid w:val="42F327CA"/>
    <w:rsid w:val="431B431A"/>
    <w:rsid w:val="43343D9B"/>
    <w:rsid w:val="4396691A"/>
    <w:rsid w:val="43DD1B4E"/>
    <w:rsid w:val="43FD61DC"/>
    <w:rsid w:val="440F3241"/>
    <w:rsid w:val="442D3850"/>
    <w:rsid w:val="44356EFC"/>
    <w:rsid w:val="4441265C"/>
    <w:rsid w:val="444846AA"/>
    <w:rsid w:val="44695979"/>
    <w:rsid w:val="44871334"/>
    <w:rsid w:val="448A5529"/>
    <w:rsid w:val="44971D85"/>
    <w:rsid w:val="44974402"/>
    <w:rsid w:val="44987FED"/>
    <w:rsid w:val="44B32706"/>
    <w:rsid w:val="44CD7256"/>
    <w:rsid w:val="45230DB6"/>
    <w:rsid w:val="4541292C"/>
    <w:rsid w:val="45725D35"/>
    <w:rsid w:val="45975433"/>
    <w:rsid w:val="459E69F5"/>
    <w:rsid w:val="45B17517"/>
    <w:rsid w:val="45D75E86"/>
    <w:rsid w:val="45E763D8"/>
    <w:rsid w:val="45EB7111"/>
    <w:rsid w:val="4600309C"/>
    <w:rsid w:val="46183585"/>
    <w:rsid w:val="46595611"/>
    <w:rsid w:val="467D4590"/>
    <w:rsid w:val="46926248"/>
    <w:rsid w:val="46D94131"/>
    <w:rsid w:val="46E0670B"/>
    <w:rsid w:val="46EA6F78"/>
    <w:rsid w:val="47135F74"/>
    <w:rsid w:val="4725631E"/>
    <w:rsid w:val="472D4DFA"/>
    <w:rsid w:val="474F1061"/>
    <w:rsid w:val="475F1A06"/>
    <w:rsid w:val="47606A65"/>
    <w:rsid w:val="476A1BDF"/>
    <w:rsid w:val="476F2930"/>
    <w:rsid w:val="477B464B"/>
    <w:rsid w:val="47916BA5"/>
    <w:rsid w:val="47AD4616"/>
    <w:rsid w:val="47C845FB"/>
    <w:rsid w:val="47E709FB"/>
    <w:rsid w:val="48010EA3"/>
    <w:rsid w:val="48397034"/>
    <w:rsid w:val="48554782"/>
    <w:rsid w:val="48952213"/>
    <w:rsid w:val="48C479AB"/>
    <w:rsid w:val="48C557AE"/>
    <w:rsid w:val="49071FFA"/>
    <w:rsid w:val="490E7F68"/>
    <w:rsid w:val="492B6201"/>
    <w:rsid w:val="492D799E"/>
    <w:rsid w:val="493103DC"/>
    <w:rsid w:val="494973EF"/>
    <w:rsid w:val="4984057A"/>
    <w:rsid w:val="499C1AE9"/>
    <w:rsid w:val="49A13FE5"/>
    <w:rsid w:val="49AB7144"/>
    <w:rsid w:val="49B43D32"/>
    <w:rsid w:val="49C32155"/>
    <w:rsid w:val="4A09297E"/>
    <w:rsid w:val="4A17192E"/>
    <w:rsid w:val="4A452C41"/>
    <w:rsid w:val="4A4D3CE1"/>
    <w:rsid w:val="4A7931DA"/>
    <w:rsid w:val="4A7D1D52"/>
    <w:rsid w:val="4AAC5B50"/>
    <w:rsid w:val="4AB47373"/>
    <w:rsid w:val="4AC71B88"/>
    <w:rsid w:val="4ACA0F1B"/>
    <w:rsid w:val="4AE34E09"/>
    <w:rsid w:val="4B025D2B"/>
    <w:rsid w:val="4B050484"/>
    <w:rsid w:val="4B066A40"/>
    <w:rsid w:val="4B0E2019"/>
    <w:rsid w:val="4B1B52D0"/>
    <w:rsid w:val="4B3A5952"/>
    <w:rsid w:val="4B6E4AC5"/>
    <w:rsid w:val="4B8F7955"/>
    <w:rsid w:val="4B9E0CA4"/>
    <w:rsid w:val="4BA62C67"/>
    <w:rsid w:val="4BB54630"/>
    <w:rsid w:val="4BBF2155"/>
    <w:rsid w:val="4BD66DFE"/>
    <w:rsid w:val="4BE946BA"/>
    <w:rsid w:val="4BF64748"/>
    <w:rsid w:val="4BF727E3"/>
    <w:rsid w:val="4C420C1C"/>
    <w:rsid w:val="4C4F730B"/>
    <w:rsid w:val="4C5D2B4D"/>
    <w:rsid w:val="4C696E2B"/>
    <w:rsid w:val="4C7656CF"/>
    <w:rsid w:val="4CD2633F"/>
    <w:rsid w:val="4CEE0BD6"/>
    <w:rsid w:val="4CF12F2A"/>
    <w:rsid w:val="4CF20F8D"/>
    <w:rsid w:val="4CF81129"/>
    <w:rsid w:val="4CFB74BA"/>
    <w:rsid w:val="4D156EFB"/>
    <w:rsid w:val="4D1B717B"/>
    <w:rsid w:val="4D3D77D9"/>
    <w:rsid w:val="4D4B24AA"/>
    <w:rsid w:val="4D547ADC"/>
    <w:rsid w:val="4D5A118D"/>
    <w:rsid w:val="4D5D134E"/>
    <w:rsid w:val="4D682A16"/>
    <w:rsid w:val="4D7000E4"/>
    <w:rsid w:val="4DC43793"/>
    <w:rsid w:val="4DC6759C"/>
    <w:rsid w:val="4DD54539"/>
    <w:rsid w:val="4DDA330A"/>
    <w:rsid w:val="4E0D6916"/>
    <w:rsid w:val="4E0F5A25"/>
    <w:rsid w:val="4E222238"/>
    <w:rsid w:val="4E387A08"/>
    <w:rsid w:val="4E3A05FF"/>
    <w:rsid w:val="4E486572"/>
    <w:rsid w:val="4E4C464F"/>
    <w:rsid w:val="4E8156AE"/>
    <w:rsid w:val="4E824620"/>
    <w:rsid w:val="4EA73801"/>
    <w:rsid w:val="4EB056CA"/>
    <w:rsid w:val="4EC705EC"/>
    <w:rsid w:val="4EC73FDA"/>
    <w:rsid w:val="4ED2075C"/>
    <w:rsid w:val="4EF23217"/>
    <w:rsid w:val="4F1F2C83"/>
    <w:rsid w:val="4F1F39F1"/>
    <w:rsid w:val="4FA20047"/>
    <w:rsid w:val="4FB04142"/>
    <w:rsid w:val="4FB65921"/>
    <w:rsid w:val="4FC04853"/>
    <w:rsid w:val="4FCB1137"/>
    <w:rsid w:val="5019477F"/>
    <w:rsid w:val="501B6BED"/>
    <w:rsid w:val="502B4D55"/>
    <w:rsid w:val="50360A56"/>
    <w:rsid w:val="504860AC"/>
    <w:rsid w:val="50720EB7"/>
    <w:rsid w:val="509F472F"/>
    <w:rsid w:val="50A10E36"/>
    <w:rsid w:val="50AD29DE"/>
    <w:rsid w:val="50B8523C"/>
    <w:rsid w:val="50C02B1A"/>
    <w:rsid w:val="50FD6CB7"/>
    <w:rsid w:val="51017241"/>
    <w:rsid w:val="51300006"/>
    <w:rsid w:val="51465988"/>
    <w:rsid w:val="514A5455"/>
    <w:rsid w:val="517C666D"/>
    <w:rsid w:val="51AA5A2D"/>
    <w:rsid w:val="51BC63E1"/>
    <w:rsid w:val="51F6561D"/>
    <w:rsid w:val="520F66D4"/>
    <w:rsid w:val="52151F5D"/>
    <w:rsid w:val="523D3B25"/>
    <w:rsid w:val="52414E88"/>
    <w:rsid w:val="525B1BE4"/>
    <w:rsid w:val="525F0214"/>
    <w:rsid w:val="526E1218"/>
    <w:rsid w:val="52955111"/>
    <w:rsid w:val="529A35C8"/>
    <w:rsid w:val="52A63C3E"/>
    <w:rsid w:val="52C0141A"/>
    <w:rsid w:val="52C93EF4"/>
    <w:rsid w:val="52D10F5F"/>
    <w:rsid w:val="52DD2915"/>
    <w:rsid w:val="52E071DC"/>
    <w:rsid w:val="52F350E3"/>
    <w:rsid w:val="530C6096"/>
    <w:rsid w:val="53184364"/>
    <w:rsid w:val="53657EFD"/>
    <w:rsid w:val="53712722"/>
    <w:rsid w:val="53807725"/>
    <w:rsid w:val="5393665D"/>
    <w:rsid w:val="53CD0F33"/>
    <w:rsid w:val="53FF311C"/>
    <w:rsid w:val="54203890"/>
    <w:rsid w:val="543B280A"/>
    <w:rsid w:val="54442A33"/>
    <w:rsid w:val="544A3C2B"/>
    <w:rsid w:val="544E36DD"/>
    <w:rsid w:val="54601E8A"/>
    <w:rsid w:val="54A52499"/>
    <w:rsid w:val="54AF2486"/>
    <w:rsid w:val="54D528C2"/>
    <w:rsid w:val="54EF19A9"/>
    <w:rsid w:val="55391D47"/>
    <w:rsid w:val="556D3FBA"/>
    <w:rsid w:val="55877BD0"/>
    <w:rsid w:val="55B033D5"/>
    <w:rsid w:val="55BF101F"/>
    <w:rsid w:val="55CC2483"/>
    <w:rsid w:val="55D60B5A"/>
    <w:rsid w:val="55D77D81"/>
    <w:rsid w:val="55DB0F94"/>
    <w:rsid w:val="5627437A"/>
    <w:rsid w:val="56294AD0"/>
    <w:rsid w:val="56496345"/>
    <w:rsid w:val="56B63B7C"/>
    <w:rsid w:val="56B93AB4"/>
    <w:rsid w:val="56CF329E"/>
    <w:rsid w:val="56F97C03"/>
    <w:rsid w:val="5757601F"/>
    <w:rsid w:val="575B6196"/>
    <w:rsid w:val="57744969"/>
    <w:rsid w:val="57BA48A9"/>
    <w:rsid w:val="57C97E4A"/>
    <w:rsid w:val="57D81814"/>
    <w:rsid w:val="57DF421C"/>
    <w:rsid w:val="57FF4EBE"/>
    <w:rsid w:val="580B3D00"/>
    <w:rsid w:val="580D6FD0"/>
    <w:rsid w:val="5829339B"/>
    <w:rsid w:val="583467AB"/>
    <w:rsid w:val="58347B76"/>
    <w:rsid w:val="584E231F"/>
    <w:rsid w:val="588F41CD"/>
    <w:rsid w:val="58A72564"/>
    <w:rsid w:val="58EB0C71"/>
    <w:rsid w:val="59263941"/>
    <w:rsid w:val="592F473A"/>
    <w:rsid w:val="594D6DAB"/>
    <w:rsid w:val="596A1DC9"/>
    <w:rsid w:val="597A38A5"/>
    <w:rsid w:val="598069DC"/>
    <w:rsid w:val="599D1821"/>
    <w:rsid w:val="59D54276"/>
    <w:rsid w:val="59F00CFB"/>
    <w:rsid w:val="59F74A27"/>
    <w:rsid w:val="59F96645"/>
    <w:rsid w:val="5A00678D"/>
    <w:rsid w:val="5A0B468A"/>
    <w:rsid w:val="5A336CCC"/>
    <w:rsid w:val="5A56344E"/>
    <w:rsid w:val="5A9058C2"/>
    <w:rsid w:val="5AA32EEF"/>
    <w:rsid w:val="5AAB770A"/>
    <w:rsid w:val="5AC1183D"/>
    <w:rsid w:val="5AC33C70"/>
    <w:rsid w:val="5AED4F72"/>
    <w:rsid w:val="5B0B7A99"/>
    <w:rsid w:val="5B653558"/>
    <w:rsid w:val="5B7C13D9"/>
    <w:rsid w:val="5B7C4414"/>
    <w:rsid w:val="5B7D5D02"/>
    <w:rsid w:val="5B8C7F77"/>
    <w:rsid w:val="5B916965"/>
    <w:rsid w:val="5BAB4E62"/>
    <w:rsid w:val="5BC70D59"/>
    <w:rsid w:val="5BDC1A5F"/>
    <w:rsid w:val="5BF7328C"/>
    <w:rsid w:val="5C046256"/>
    <w:rsid w:val="5C1A7097"/>
    <w:rsid w:val="5C201A3E"/>
    <w:rsid w:val="5C7B4574"/>
    <w:rsid w:val="5C863EAA"/>
    <w:rsid w:val="5C9B0FAA"/>
    <w:rsid w:val="5CB566B9"/>
    <w:rsid w:val="5CD969C4"/>
    <w:rsid w:val="5CF36594"/>
    <w:rsid w:val="5D063BFE"/>
    <w:rsid w:val="5D2A2E3F"/>
    <w:rsid w:val="5D3C73E6"/>
    <w:rsid w:val="5D851FE6"/>
    <w:rsid w:val="5D8C73EB"/>
    <w:rsid w:val="5D981DE2"/>
    <w:rsid w:val="5DC0390A"/>
    <w:rsid w:val="5DD400AB"/>
    <w:rsid w:val="5DEA7A0D"/>
    <w:rsid w:val="5E0C0428"/>
    <w:rsid w:val="5E0D1C88"/>
    <w:rsid w:val="5E22756B"/>
    <w:rsid w:val="5E38107B"/>
    <w:rsid w:val="5E414A08"/>
    <w:rsid w:val="5E546163"/>
    <w:rsid w:val="5E55240A"/>
    <w:rsid w:val="5E5C5834"/>
    <w:rsid w:val="5E7E23D6"/>
    <w:rsid w:val="5EB1007D"/>
    <w:rsid w:val="5EDD54FD"/>
    <w:rsid w:val="5F3E5F53"/>
    <w:rsid w:val="5F562E30"/>
    <w:rsid w:val="5F664955"/>
    <w:rsid w:val="5F6A1976"/>
    <w:rsid w:val="5F833356"/>
    <w:rsid w:val="5F867A62"/>
    <w:rsid w:val="5FAA100D"/>
    <w:rsid w:val="5FAF0A45"/>
    <w:rsid w:val="5FC72ABD"/>
    <w:rsid w:val="5FD34A76"/>
    <w:rsid w:val="5FD7603E"/>
    <w:rsid w:val="5FDC244E"/>
    <w:rsid w:val="5FFC2EE8"/>
    <w:rsid w:val="600269AB"/>
    <w:rsid w:val="60164D6D"/>
    <w:rsid w:val="602C357C"/>
    <w:rsid w:val="602C5CBD"/>
    <w:rsid w:val="603B0160"/>
    <w:rsid w:val="608A3390"/>
    <w:rsid w:val="609036CF"/>
    <w:rsid w:val="60AA38D4"/>
    <w:rsid w:val="60FD4CD1"/>
    <w:rsid w:val="612D080A"/>
    <w:rsid w:val="6132529D"/>
    <w:rsid w:val="614E6997"/>
    <w:rsid w:val="617A60A6"/>
    <w:rsid w:val="619426EC"/>
    <w:rsid w:val="61B61F1F"/>
    <w:rsid w:val="61BB7F88"/>
    <w:rsid w:val="62467072"/>
    <w:rsid w:val="62575871"/>
    <w:rsid w:val="62B03E29"/>
    <w:rsid w:val="62B7063C"/>
    <w:rsid w:val="62BD4F73"/>
    <w:rsid w:val="62CF454F"/>
    <w:rsid w:val="62FF7057"/>
    <w:rsid w:val="6303246A"/>
    <w:rsid w:val="631B08C2"/>
    <w:rsid w:val="632367E6"/>
    <w:rsid w:val="63415BAD"/>
    <w:rsid w:val="636108F5"/>
    <w:rsid w:val="63707C21"/>
    <w:rsid w:val="63710DCD"/>
    <w:rsid w:val="637A44BE"/>
    <w:rsid w:val="638875F7"/>
    <w:rsid w:val="63A21930"/>
    <w:rsid w:val="63AC6476"/>
    <w:rsid w:val="63CE5467"/>
    <w:rsid w:val="63E8015A"/>
    <w:rsid w:val="6406025E"/>
    <w:rsid w:val="64110D3E"/>
    <w:rsid w:val="641753DE"/>
    <w:rsid w:val="64291637"/>
    <w:rsid w:val="644443F4"/>
    <w:rsid w:val="646D2E59"/>
    <w:rsid w:val="64B81B63"/>
    <w:rsid w:val="64C025F2"/>
    <w:rsid w:val="64CA28E8"/>
    <w:rsid w:val="64FA5A8A"/>
    <w:rsid w:val="64FB3741"/>
    <w:rsid w:val="651E35A8"/>
    <w:rsid w:val="652B445E"/>
    <w:rsid w:val="653037A0"/>
    <w:rsid w:val="6539677D"/>
    <w:rsid w:val="65574474"/>
    <w:rsid w:val="655E149C"/>
    <w:rsid w:val="6587631B"/>
    <w:rsid w:val="65C06DDA"/>
    <w:rsid w:val="65C9672D"/>
    <w:rsid w:val="65E3674B"/>
    <w:rsid w:val="66105676"/>
    <w:rsid w:val="662840C0"/>
    <w:rsid w:val="66342DDB"/>
    <w:rsid w:val="66361AF0"/>
    <w:rsid w:val="663A72B0"/>
    <w:rsid w:val="66477D61"/>
    <w:rsid w:val="665D5467"/>
    <w:rsid w:val="666778F2"/>
    <w:rsid w:val="668E59B3"/>
    <w:rsid w:val="668F5264"/>
    <w:rsid w:val="66AB4DC5"/>
    <w:rsid w:val="66E94766"/>
    <w:rsid w:val="66FF590C"/>
    <w:rsid w:val="6707084B"/>
    <w:rsid w:val="674161C3"/>
    <w:rsid w:val="675E5C7C"/>
    <w:rsid w:val="67693FF7"/>
    <w:rsid w:val="67760AAE"/>
    <w:rsid w:val="67834796"/>
    <w:rsid w:val="678C373F"/>
    <w:rsid w:val="67A1044F"/>
    <w:rsid w:val="67A57CDE"/>
    <w:rsid w:val="67C559CC"/>
    <w:rsid w:val="67D01A36"/>
    <w:rsid w:val="67ED5EAA"/>
    <w:rsid w:val="67EF5EDF"/>
    <w:rsid w:val="682924F8"/>
    <w:rsid w:val="684668D7"/>
    <w:rsid w:val="684A1C54"/>
    <w:rsid w:val="6861607E"/>
    <w:rsid w:val="689649AA"/>
    <w:rsid w:val="689B286C"/>
    <w:rsid w:val="68DD2457"/>
    <w:rsid w:val="68E7337E"/>
    <w:rsid w:val="696151C6"/>
    <w:rsid w:val="699A1A2A"/>
    <w:rsid w:val="69A01D63"/>
    <w:rsid w:val="69F1727A"/>
    <w:rsid w:val="69F32C7A"/>
    <w:rsid w:val="6A162668"/>
    <w:rsid w:val="6A167571"/>
    <w:rsid w:val="6A1A1264"/>
    <w:rsid w:val="6A2A210D"/>
    <w:rsid w:val="6A307EA0"/>
    <w:rsid w:val="6A3C1302"/>
    <w:rsid w:val="6A4803B3"/>
    <w:rsid w:val="6A4C416F"/>
    <w:rsid w:val="6A523E32"/>
    <w:rsid w:val="6A7449B2"/>
    <w:rsid w:val="6A926318"/>
    <w:rsid w:val="6AA344EC"/>
    <w:rsid w:val="6ABE2A03"/>
    <w:rsid w:val="6B0D77BC"/>
    <w:rsid w:val="6B0F4A58"/>
    <w:rsid w:val="6B1976BD"/>
    <w:rsid w:val="6B291FD6"/>
    <w:rsid w:val="6B3B3F63"/>
    <w:rsid w:val="6B417FE3"/>
    <w:rsid w:val="6B6D7745"/>
    <w:rsid w:val="6B7F5B32"/>
    <w:rsid w:val="6BA37F35"/>
    <w:rsid w:val="6BB35967"/>
    <w:rsid w:val="6BCF4E1E"/>
    <w:rsid w:val="6BD32245"/>
    <w:rsid w:val="6BDE7BAB"/>
    <w:rsid w:val="6BE0115D"/>
    <w:rsid w:val="6BE219B1"/>
    <w:rsid w:val="6BF121B7"/>
    <w:rsid w:val="6BF77557"/>
    <w:rsid w:val="6C523102"/>
    <w:rsid w:val="6C6C40FD"/>
    <w:rsid w:val="6C8E6742"/>
    <w:rsid w:val="6CA53453"/>
    <w:rsid w:val="6CB30AC4"/>
    <w:rsid w:val="6CC7538B"/>
    <w:rsid w:val="6D6710BC"/>
    <w:rsid w:val="6D724E6D"/>
    <w:rsid w:val="6D822FB1"/>
    <w:rsid w:val="6D95207B"/>
    <w:rsid w:val="6D9837F6"/>
    <w:rsid w:val="6DB42194"/>
    <w:rsid w:val="6DC729CC"/>
    <w:rsid w:val="6DE92D60"/>
    <w:rsid w:val="6DF0054B"/>
    <w:rsid w:val="6DF460F0"/>
    <w:rsid w:val="6E0402A5"/>
    <w:rsid w:val="6E2D46CF"/>
    <w:rsid w:val="6E7D1593"/>
    <w:rsid w:val="6E9B2795"/>
    <w:rsid w:val="6E9D3030"/>
    <w:rsid w:val="6ED11AB5"/>
    <w:rsid w:val="6F4F6B77"/>
    <w:rsid w:val="6F683E03"/>
    <w:rsid w:val="6F685F04"/>
    <w:rsid w:val="6F697599"/>
    <w:rsid w:val="6F7B49DA"/>
    <w:rsid w:val="6F92232B"/>
    <w:rsid w:val="6F9B5D3A"/>
    <w:rsid w:val="6FCC678E"/>
    <w:rsid w:val="6FD078DF"/>
    <w:rsid w:val="6FE67F45"/>
    <w:rsid w:val="702B64C8"/>
    <w:rsid w:val="70330C3E"/>
    <w:rsid w:val="703C4F9D"/>
    <w:rsid w:val="705820E4"/>
    <w:rsid w:val="70586232"/>
    <w:rsid w:val="706E7C10"/>
    <w:rsid w:val="708768B6"/>
    <w:rsid w:val="70A92761"/>
    <w:rsid w:val="70B360CB"/>
    <w:rsid w:val="70B66FFA"/>
    <w:rsid w:val="70D37F21"/>
    <w:rsid w:val="70DD544E"/>
    <w:rsid w:val="70FD7301"/>
    <w:rsid w:val="710733F4"/>
    <w:rsid w:val="710E68F5"/>
    <w:rsid w:val="71142381"/>
    <w:rsid w:val="7122677F"/>
    <w:rsid w:val="71397C64"/>
    <w:rsid w:val="716F6D8E"/>
    <w:rsid w:val="71841F56"/>
    <w:rsid w:val="718E4DFE"/>
    <w:rsid w:val="719863E1"/>
    <w:rsid w:val="71B5285E"/>
    <w:rsid w:val="71BC2C3A"/>
    <w:rsid w:val="71CB33CD"/>
    <w:rsid w:val="71E15425"/>
    <w:rsid w:val="71FF24A3"/>
    <w:rsid w:val="725D1B42"/>
    <w:rsid w:val="72644993"/>
    <w:rsid w:val="726D1E4C"/>
    <w:rsid w:val="727162FA"/>
    <w:rsid w:val="727F1734"/>
    <w:rsid w:val="728A3F1D"/>
    <w:rsid w:val="72931168"/>
    <w:rsid w:val="72EA6696"/>
    <w:rsid w:val="733A4C76"/>
    <w:rsid w:val="73572AEA"/>
    <w:rsid w:val="73804FC4"/>
    <w:rsid w:val="73BC2C28"/>
    <w:rsid w:val="73BF670D"/>
    <w:rsid w:val="73D60957"/>
    <w:rsid w:val="73E078C3"/>
    <w:rsid w:val="73E56EFF"/>
    <w:rsid w:val="73F344E7"/>
    <w:rsid w:val="741405C3"/>
    <w:rsid w:val="74211E73"/>
    <w:rsid w:val="744D3279"/>
    <w:rsid w:val="747C1C43"/>
    <w:rsid w:val="74880C53"/>
    <w:rsid w:val="74963938"/>
    <w:rsid w:val="74981F5B"/>
    <w:rsid w:val="74A50809"/>
    <w:rsid w:val="74AB4558"/>
    <w:rsid w:val="74C06E37"/>
    <w:rsid w:val="74CF6864"/>
    <w:rsid w:val="74D042D3"/>
    <w:rsid w:val="74F204FA"/>
    <w:rsid w:val="7503464D"/>
    <w:rsid w:val="75094662"/>
    <w:rsid w:val="753E207E"/>
    <w:rsid w:val="7554274D"/>
    <w:rsid w:val="75545F23"/>
    <w:rsid w:val="755F5FAF"/>
    <w:rsid w:val="75754124"/>
    <w:rsid w:val="75B62424"/>
    <w:rsid w:val="75BF2EEB"/>
    <w:rsid w:val="75CF40A4"/>
    <w:rsid w:val="75DA0F22"/>
    <w:rsid w:val="75E4690D"/>
    <w:rsid w:val="75F869AC"/>
    <w:rsid w:val="76154AB4"/>
    <w:rsid w:val="763613CC"/>
    <w:rsid w:val="76573789"/>
    <w:rsid w:val="765F210E"/>
    <w:rsid w:val="767D097C"/>
    <w:rsid w:val="76B86E44"/>
    <w:rsid w:val="76E453B3"/>
    <w:rsid w:val="76EC7D3E"/>
    <w:rsid w:val="771037A6"/>
    <w:rsid w:val="772D5F36"/>
    <w:rsid w:val="77346E8C"/>
    <w:rsid w:val="775D039C"/>
    <w:rsid w:val="7766253C"/>
    <w:rsid w:val="77A22A0E"/>
    <w:rsid w:val="77C0646E"/>
    <w:rsid w:val="77C75B94"/>
    <w:rsid w:val="77FA02A0"/>
    <w:rsid w:val="78344ABF"/>
    <w:rsid w:val="784B7C2D"/>
    <w:rsid w:val="784F17EE"/>
    <w:rsid w:val="786276EA"/>
    <w:rsid w:val="787D6831"/>
    <w:rsid w:val="78914A6C"/>
    <w:rsid w:val="789E02B3"/>
    <w:rsid w:val="78A74D8B"/>
    <w:rsid w:val="78C20DD0"/>
    <w:rsid w:val="78C91699"/>
    <w:rsid w:val="78CC2072"/>
    <w:rsid w:val="78E60E83"/>
    <w:rsid w:val="78F4059E"/>
    <w:rsid w:val="78F62F76"/>
    <w:rsid w:val="790D1E77"/>
    <w:rsid w:val="791F7F92"/>
    <w:rsid w:val="7922496B"/>
    <w:rsid w:val="794E1F63"/>
    <w:rsid w:val="799416AF"/>
    <w:rsid w:val="79EF0525"/>
    <w:rsid w:val="7A090C9C"/>
    <w:rsid w:val="7A3142DD"/>
    <w:rsid w:val="7A3D614A"/>
    <w:rsid w:val="7A4C2F1E"/>
    <w:rsid w:val="7A7D4374"/>
    <w:rsid w:val="7A7E2131"/>
    <w:rsid w:val="7AC510B3"/>
    <w:rsid w:val="7AE53360"/>
    <w:rsid w:val="7AF92B17"/>
    <w:rsid w:val="7B1560A2"/>
    <w:rsid w:val="7B412DF3"/>
    <w:rsid w:val="7B6F5E1A"/>
    <w:rsid w:val="7BAA4A16"/>
    <w:rsid w:val="7BC57490"/>
    <w:rsid w:val="7C1853E4"/>
    <w:rsid w:val="7C2213B2"/>
    <w:rsid w:val="7C582AC8"/>
    <w:rsid w:val="7C8A0059"/>
    <w:rsid w:val="7C902FE7"/>
    <w:rsid w:val="7CA9474E"/>
    <w:rsid w:val="7CAC32A3"/>
    <w:rsid w:val="7CBF1344"/>
    <w:rsid w:val="7CDB5E91"/>
    <w:rsid w:val="7CF47A0B"/>
    <w:rsid w:val="7CF57CDD"/>
    <w:rsid w:val="7CF73130"/>
    <w:rsid w:val="7CFD2734"/>
    <w:rsid w:val="7D051FEB"/>
    <w:rsid w:val="7D156E36"/>
    <w:rsid w:val="7D320FD3"/>
    <w:rsid w:val="7D6C5289"/>
    <w:rsid w:val="7DB963D6"/>
    <w:rsid w:val="7DC9308C"/>
    <w:rsid w:val="7DDA08FE"/>
    <w:rsid w:val="7DDC2A43"/>
    <w:rsid w:val="7DE16771"/>
    <w:rsid w:val="7DE67533"/>
    <w:rsid w:val="7DF8467B"/>
    <w:rsid w:val="7E067274"/>
    <w:rsid w:val="7E321B25"/>
    <w:rsid w:val="7E604F15"/>
    <w:rsid w:val="7E7C471E"/>
    <w:rsid w:val="7E931977"/>
    <w:rsid w:val="7E977F8E"/>
    <w:rsid w:val="7E984D8D"/>
    <w:rsid w:val="7EAE089E"/>
    <w:rsid w:val="7EBE2D2B"/>
    <w:rsid w:val="7ECE1620"/>
    <w:rsid w:val="7ED93DF1"/>
    <w:rsid w:val="7EF304E9"/>
    <w:rsid w:val="7F0075FA"/>
    <w:rsid w:val="7F284479"/>
    <w:rsid w:val="7F423932"/>
    <w:rsid w:val="7F5D730F"/>
    <w:rsid w:val="7F703C74"/>
    <w:rsid w:val="7F71595A"/>
    <w:rsid w:val="7F7849C2"/>
    <w:rsid w:val="7F814CB9"/>
    <w:rsid w:val="7F816C5C"/>
    <w:rsid w:val="7F91192A"/>
    <w:rsid w:val="7F9F5D95"/>
    <w:rsid w:val="7FA5001E"/>
    <w:rsid w:val="7FE345FD"/>
    <w:rsid w:val="7FF7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487</Characters>
  <Lines>0</Lines>
  <Paragraphs>0</Paragraphs>
  <TotalTime>4</TotalTime>
  <ScaleCrop>false</ScaleCrop>
  <LinksUpToDate>false</LinksUpToDate>
  <CharactersWithSpaces>487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2022-09-16T00:14:00Z</dcterms:created>
  <dc:creator>Administrator</dc:creator>
  <cp:lastModifiedBy>admin</cp:lastModifiedBy>
  <cp:lastPrinted>2024-06-21T06:07:00Z</cp:lastPrinted>
  <dcterms:modified xsi:type="dcterms:W3CDTF">2025-08-19T01:43:26Z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82E798AEBF2246DD8D85E35EDDB6CA3B</vt:lpwstr>
  </property>
</Properties>
</file>